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DA9" w:rsidRPr="0022068A" w:rsidRDefault="0022068A" w:rsidP="0022068A">
      <w:pPr>
        <w:ind w:right="567"/>
        <w:rPr>
          <w:rFonts w:ascii="Arial" w:hAnsi="Arial" w:cs="Arial"/>
          <w:caps/>
          <w:sz w:val="32"/>
          <w:szCs w:val="32"/>
        </w:rPr>
      </w:pPr>
      <w:r w:rsidRPr="0022068A">
        <w:rPr>
          <w:rFonts w:ascii="Arial" w:hAnsi="Arial" w:cs="Arial"/>
          <w:sz w:val="32"/>
          <w:szCs w:val="32"/>
        </w:rPr>
        <w:t>Analiza structurii avuţiei naţionale a româniei în perioada 1998-2000</w:t>
      </w:r>
    </w:p>
    <w:p w:rsidR="00175DA9" w:rsidRPr="00225732" w:rsidRDefault="00175DA9" w:rsidP="009047D5">
      <w:pPr>
        <w:ind w:left="1134" w:right="1134"/>
        <w:jc w:val="center"/>
        <w:rPr>
          <w:rFonts w:ascii="Arial" w:hAnsi="Arial" w:cs="Arial"/>
          <w:b/>
          <w:shadow/>
        </w:rPr>
      </w:pPr>
    </w:p>
    <w:p w:rsidR="00175DA9" w:rsidRPr="00225732" w:rsidRDefault="00175DA9" w:rsidP="009047D5">
      <w:pPr>
        <w:ind w:left="1134" w:right="1134"/>
        <w:jc w:val="center"/>
        <w:rPr>
          <w:rFonts w:ascii="Arial" w:hAnsi="Arial" w:cs="Arial"/>
          <w:b/>
        </w:rPr>
      </w:pPr>
    </w:p>
    <w:p w:rsidR="00175DA9" w:rsidRPr="00225732" w:rsidRDefault="00175DA9" w:rsidP="009047D5">
      <w:pPr>
        <w:ind w:left="1134" w:right="1134"/>
        <w:jc w:val="both"/>
        <w:rPr>
          <w:rFonts w:ascii="Arial" w:hAnsi="Arial" w:cs="Arial"/>
          <w:b/>
        </w:rPr>
      </w:pPr>
    </w:p>
    <w:p w:rsidR="00175DA9" w:rsidRPr="0022068A" w:rsidRDefault="00175DA9" w:rsidP="0022068A">
      <w:pPr>
        <w:rPr>
          <w:sz w:val="22"/>
          <w:szCs w:val="22"/>
        </w:rPr>
      </w:pPr>
      <w:r w:rsidRPr="0022068A">
        <w:rPr>
          <w:sz w:val="22"/>
          <w:szCs w:val="22"/>
        </w:rPr>
        <w:t>In sensul cel mai larg, avuţia cuprinde tot ceea ce contribuie într-un fel sau altul la sporirea bunăstării unei persoane sau a unui popor. In aceste condiţii, avuţia naţională se defineşte ca totalitate a resurselor materiale şi spirituale de care dispune un popor la un moment dat.</w:t>
      </w:r>
      <w:r w:rsidR="00203A26" w:rsidRPr="0022068A">
        <w:rPr>
          <w:sz w:val="22"/>
          <w:szCs w:val="22"/>
        </w:rPr>
        <w:t xml:space="preserve"> </w:t>
      </w:r>
      <w:r w:rsidRPr="0022068A">
        <w:rPr>
          <w:sz w:val="22"/>
          <w:szCs w:val="22"/>
        </w:rPr>
        <w:t>Conceptul de avuţie naţională cuprinde avuţia nematerială, avuţia materială şi poziţia netă în raport cu străinătatea.</w:t>
      </w:r>
    </w:p>
    <w:p w:rsidR="00175DA9" w:rsidRPr="00225732" w:rsidRDefault="00175DA9" w:rsidP="009047D5">
      <w:pPr>
        <w:jc w:val="both"/>
        <w:rPr>
          <w:rFonts w:ascii="Arial" w:hAnsi="Arial" w:cs="Arial"/>
        </w:rPr>
      </w:pPr>
    </w:p>
    <w:p w:rsidR="00175DA9" w:rsidRPr="00225732" w:rsidRDefault="00175DA9" w:rsidP="00CA58DE">
      <w:pPr>
        <w:pStyle w:val="Heading1"/>
        <w:jc w:val="both"/>
        <w:rPr>
          <w:sz w:val="24"/>
          <w:szCs w:val="24"/>
        </w:rPr>
      </w:pPr>
      <w:bookmarkStart w:id="0" w:name="_Toc61285065"/>
      <w:bookmarkStart w:id="1" w:name="_Toc61285290"/>
      <w:bookmarkStart w:id="2" w:name="_Toc61285376"/>
      <w:bookmarkStart w:id="3" w:name="_Toc61368719"/>
      <w:bookmarkStart w:id="4" w:name="_Toc61443932"/>
      <w:bookmarkStart w:id="5" w:name="_Toc61444238"/>
      <w:r w:rsidRPr="00225732">
        <w:rPr>
          <w:sz w:val="24"/>
          <w:szCs w:val="24"/>
        </w:rPr>
        <w:t>Componentele avuţiei naţionale</w:t>
      </w:r>
      <w:bookmarkEnd w:id="0"/>
      <w:bookmarkEnd w:id="1"/>
      <w:bookmarkEnd w:id="2"/>
      <w:bookmarkEnd w:id="3"/>
      <w:bookmarkEnd w:id="4"/>
      <w:bookmarkEnd w:id="5"/>
    </w:p>
    <w:p w:rsidR="00175DA9" w:rsidRPr="00225732" w:rsidRDefault="00175DA9" w:rsidP="009047D5">
      <w:pPr>
        <w:jc w:val="both"/>
        <w:rPr>
          <w:rFonts w:ascii="Arial" w:hAnsi="Arial" w:cs="Arial"/>
        </w:rPr>
      </w:pPr>
    </w:p>
    <w:tbl>
      <w:tblPr>
        <w:tblW w:w="9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4"/>
        <w:gridCol w:w="1150"/>
        <w:gridCol w:w="1657"/>
        <w:gridCol w:w="1043"/>
        <w:gridCol w:w="1110"/>
        <w:gridCol w:w="1270"/>
        <w:gridCol w:w="977"/>
        <w:gridCol w:w="1044"/>
        <w:gridCol w:w="1017"/>
        <w:gridCol w:w="1471"/>
      </w:tblGrid>
      <w:tr w:rsidR="00175DA9" w:rsidRPr="00D70E0F" w:rsidTr="00D70E0F">
        <w:trPr>
          <w:jc w:val="center"/>
        </w:trPr>
        <w:tc>
          <w:tcPr>
            <w:tcW w:w="9320" w:type="dxa"/>
            <w:gridSpan w:val="10"/>
            <w:vAlign w:val="center"/>
          </w:tcPr>
          <w:p w:rsidR="00175DA9" w:rsidRPr="00D70E0F" w:rsidRDefault="00175DA9" w:rsidP="00D70E0F">
            <w:pPr>
              <w:jc w:val="both"/>
              <w:rPr>
                <w:rFonts w:ascii="Arial" w:hAnsi="Arial" w:cs="Arial"/>
              </w:rPr>
            </w:pPr>
            <w:r w:rsidRPr="00D70E0F">
              <w:rPr>
                <w:rFonts w:ascii="Arial" w:hAnsi="Arial" w:cs="Arial"/>
              </w:rPr>
              <w:t>Avuţia în sensul larg</w:t>
            </w:r>
          </w:p>
        </w:tc>
      </w:tr>
      <w:tr w:rsidR="00175DA9" w:rsidRPr="00D70E0F" w:rsidTr="00D70E0F">
        <w:trPr>
          <w:jc w:val="center"/>
        </w:trPr>
        <w:tc>
          <w:tcPr>
            <w:tcW w:w="2991" w:type="dxa"/>
            <w:gridSpan w:val="3"/>
            <w:vAlign w:val="center"/>
          </w:tcPr>
          <w:p w:rsidR="00175DA9" w:rsidRPr="00D70E0F" w:rsidRDefault="00175DA9" w:rsidP="00D70E0F">
            <w:pPr>
              <w:jc w:val="both"/>
              <w:rPr>
                <w:rFonts w:ascii="Arial" w:hAnsi="Arial" w:cs="Arial"/>
              </w:rPr>
            </w:pPr>
            <w:r w:rsidRPr="00D70E0F">
              <w:rPr>
                <w:rFonts w:ascii="Arial" w:hAnsi="Arial" w:cs="Arial"/>
              </w:rPr>
              <w:t>Avuţia nematerială</w:t>
            </w:r>
          </w:p>
        </w:tc>
        <w:tc>
          <w:tcPr>
            <w:tcW w:w="5172" w:type="dxa"/>
            <w:gridSpan w:val="6"/>
            <w:vAlign w:val="center"/>
          </w:tcPr>
          <w:p w:rsidR="00175DA9" w:rsidRPr="00D70E0F" w:rsidRDefault="00175DA9" w:rsidP="00D70E0F">
            <w:pPr>
              <w:jc w:val="both"/>
              <w:rPr>
                <w:rFonts w:ascii="Arial" w:hAnsi="Arial" w:cs="Arial"/>
              </w:rPr>
            </w:pPr>
            <w:r w:rsidRPr="00D70E0F">
              <w:rPr>
                <w:rFonts w:ascii="Arial" w:hAnsi="Arial" w:cs="Arial"/>
              </w:rPr>
              <w:t>Avuţia materială</w:t>
            </w:r>
          </w:p>
        </w:tc>
        <w:tc>
          <w:tcPr>
            <w:tcW w:w="1157" w:type="dxa"/>
            <w:vMerge w:val="restart"/>
            <w:vAlign w:val="center"/>
          </w:tcPr>
          <w:p w:rsidR="00175DA9" w:rsidRPr="00D70E0F" w:rsidRDefault="00175DA9" w:rsidP="00D70E0F">
            <w:pPr>
              <w:jc w:val="both"/>
              <w:rPr>
                <w:rFonts w:ascii="Arial" w:hAnsi="Arial" w:cs="Arial"/>
              </w:rPr>
            </w:pPr>
            <w:r w:rsidRPr="00D70E0F">
              <w:rPr>
                <w:rFonts w:ascii="Arial" w:hAnsi="Arial" w:cs="Arial"/>
              </w:rPr>
              <w:t>Poziţia netă în raport cu străinătatea</w:t>
            </w:r>
          </w:p>
        </w:tc>
      </w:tr>
      <w:tr w:rsidR="00175DA9" w:rsidRPr="00D70E0F" w:rsidTr="00D70E0F">
        <w:trPr>
          <w:jc w:val="center"/>
        </w:trPr>
        <w:tc>
          <w:tcPr>
            <w:tcW w:w="777" w:type="dxa"/>
            <w:vMerge w:val="restart"/>
            <w:vAlign w:val="center"/>
          </w:tcPr>
          <w:p w:rsidR="00175DA9" w:rsidRPr="00D70E0F" w:rsidRDefault="00175DA9" w:rsidP="00D70E0F">
            <w:pPr>
              <w:jc w:val="both"/>
              <w:rPr>
                <w:rFonts w:ascii="Arial" w:hAnsi="Arial" w:cs="Arial"/>
              </w:rPr>
            </w:pPr>
            <w:r w:rsidRPr="00D70E0F">
              <w:rPr>
                <w:rFonts w:ascii="Arial" w:hAnsi="Arial" w:cs="Arial"/>
              </w:rPr>
              <w:t>Avuţia social- politică</w:t>
            </w:r>
          </w:p>
        </w:tc>
        <w:tc>
          <w:tcPr>
            <w:tcW w:w="917" w:type="dxa"/>
            <w:vMerge w:val="restart"/>
            <w:vAlign w:val="center"/>
          </w:tcPr>
          <w:p w:rsidR="00175DA9" w:rsidRPr="00D70E0F" w:rsidRDefault="00175DA9" w:rsidP="00D70E0F">
            <w:pPr>
              <w:jc w:val="both"/>
              <w:rPr>
                <w:rFonts w:ascii="Arial" w:hAnsi="Arial" w:cs="Arial"/>
              </w:rPr>
            </w:pPr>
            <w:r w:rsidRPr="00D70E0F">
              <w:rPr>
                <w:rFonts w:ascii="Arial" w:hAnsi="Arial" w:cs="Arial"/>
              </w:rPr>
              <w:t>Capitalul uman</w:t>
            </w:r>
          </w:p>
        </w:tc>
        <w:tc>
          <w:tcPr>
            <w:tcW w:w="1297" w:type="dxa"/>
            <w:vMerge w:val="restart"/>
            <w:vAlign w:val="center"/>
          </w:tcPr>
          <w:p w:rsidR="00175DA9" w:rsidRPr="00D70E0F" w:rsidRDefault="00175DA9" w:rsidP="00D70E0F">
            <w:pPr>
              <w:jc w:val="both"/>
              <w:rPr>
                <w:rFonts w:ascii="Arial" w:hAnsi="Arial" w:cs="Arial"/>
              </w:rPr>
            </w:pPr>
            <w:r w:rsidRPr="00D70E0F">
              <w:rPr>
                <w:rFonts w:ascii="Arial" w:hAnsi="Arial" w:cs="Arial"/>
              </w:rPr>
              <w:t>Avuţia nematerială repr</w:t>
            </w:r>
            <w:r w:rsidRPr="00D70E0F">
              <w:rPr>
                <w:rFonts w:ascii="Arial" w:hAnsi="Arial" w:cs="Arial"/>
              </w:rPr>
              <w:t>o</w:t>
            </w:r>
            <w:r w:rsidRPr="00D70E0F">
              <w:rPr>
                <w:rFonts w:ascii="Arial" w:hAnsi="Arial" w:cs="Arial"/>
              </w:rPr>
              <w:t>ductibilă</w:t>
            </w:r>
          </w:p>
        </w:tc>
        <w:tc>
          <w:tcPr>
            <w:tcW w:w="1724" w:type="dxa"/>
            <w:gridSpan w:val="2"/>
            <w:vMerge w:val="restart"/>
            <w:vAlign w:val="center"/>
          </w:tcPr>
          <w:p w:rsidR="00175DA9" w:rsidRPr="00D70E0F" w:rsidRDefault="00175DA9" w:rsidP="00D70E0F">
            <w:pPr>
              <w:jc w:val="both"/>
              <w:rPr>
                <w:rFonts w:ascii="Arial" w:hAnsi="Arial" w:cs="Arial"/>
              </w:rPr>
            </w:pPr>
            <w:r w:rsidRPr="00D70E0F">
              <w:rPr>
                <w:rFonts w:ascii="Arial" w:hAnsi="Arial" w:cs="Arial"/>
              </w:rPr>
              <w:t>Avuţia materială nereproductibilă</w:t>
            </w:r>
          </w:p>
        </w:tc>
        <w:tc>
          <w:tcPr>
            <w:tcW w:w="3448" w:type="dxa"/>
            <w:gridSpan w:val="4"/>
            <w:vAlign w:val="center"/>
          </w:tcPr>
          <w:p w:rsidR="00175DA9" w:rsidRPr="00D70E0F" w:rsidRDefault="00175DA9" w:rsidP="00D70E0F">
            <w:pPr>
              <w:jc w:val="both"/>
              <w:rPr>
                <w:rFonts w:ascii="Arial" w:hAnsi="Arial" w:cs="Arial"/>
              </w:rPr>
            </w:pPr>
            <w:r w:rsidRPr="00D70E0F">
              <w:rPr>
                <w:rFonts w:ascii="Arial" w:hAnsi="Arial" w:cs="Arial"/>
              </w:rPr>
              <w:t>Avuţia materială reproductibilă</w:t>
            </w:r>
          </w:p>
        </w:tc>
        <w:tc>
          <w:tcPr>
            <w:tcW w:w="1157" w:type="dxa"/>
            <w:vMerge/>
            <w:vAlign w:val="center"/>
          </w:tcPr>
          <w:p w:rsidR="00175DA9" w:rsidRPr="00D70E0F" w:rsidRDefault="00175DA9" w:rsidP="00D70E0F">
            <w:pPr>
              <w:jc w:val="both"/>
              <w:rPr>
                <w:rFonts w:ascii="Arial" w:hAnsi="Arial" w:cs="Arial"/>
              </w:rPr>
            </w:pPr>
          </w:p>
        </w:tc>
      </w:tr>
      <w:tr w:rsidR="00175DA9" w:rsidRPr="00D70E0F" w:rsidTr="00D70E0F">
        <w:trPr>
          <w:jc w:val="center"/>
        </w:trPr>
        <w:tc>
          <w:tcPr>
            <w:tcW w:w="777" w:type="dxa"/>
            <w:vMerge/>
            <w:vAlign w:val="center"/>
          </w:tcPr>
          <w:p w:rsidR="00175DA9" w:rsidRPr="00D70E0F" w:rsidRDefault="00175DA9" w:rsidP="00D70E0F">
            <w:pPr>
              <w:jc w:val="both"/>
              <w:rPr>
                <w:rFonts w:ascii="Arial" w:hAnsi="Arial" w:cs="Arial"/>
              </w:rPr>
            </w:pPr>
          </w:p>
        </w:tc>
        <w:tc>
          <w:tcPr>
            <w:tcW w:w="917" w:type="dxa"/>
            <w:vMerge/>
            <w:vAlign w:val="center"/>
          </w:tcPr>
          <w:p w:rsidR="00175DA9" w:rsidRPr="00D70E0F" w:rsidRDefault="00175DA9" w:rsidP="00D70E0F">
            <w:pPr>
              <w:jc w:val="both"/>
              <w:rPr>
                <w:rFonts w:ascii="Arial" w:hAnsi="Arial" w:cs="Arial"/>
              </w:rPr>
            </w:pPr>
          </w:p>
        </w:tc>
        <w:tc>
          <w:tcPr>
            <w:tcW w:w="1297" w:type="dxa"/>
            <w:vMerge/>
            <w:vAlign w:val="center"/>
          </w:tcPr>
          <w:p w:rsidR="00175DA9" w:rsidRPr="00D70E0F" w:rsidRDefault="00175DA9" w:rsidP="00D70E0F">
            <w:pPr>
              <w:jc w:val="both"/>
              <w:rPr>
                <w:rFonts w:ascii="Arial" w:hAnsi="Arial" w:cs="Arial"/>
              </w:rPr>
            </w:pPr>
          </w:p>
        </w:tc>
        <w:tc>
          <w:tcPr>
            <w:tcW w:w="1724" w:type="dxa"/>
            <w:gridSpan w:val="2"/>
            <w:vMerge/>
            <w:vAlign w:val="center"/>
          </w:tcPr>
          <w:p w:rsidR="00175DA9" w:rsidRPr="00D70E0F" w:rsidRDefault="00175DA9" w:rsidP="00D70E0F">
            <w:pPr>
              <w:jc w:val="both"/>
              <w:rPr>
                <w:rFonts w:ascii="Arial" w:hAnsi="Arial" w:cs="Arial"/>
              </w:rPr>
            </w:pPr>
          </w:p>
        </w:tc>
        <w:tc>
          <w:tcPr>
            <w:tcW w:w="1794" w:type="dxa"/>
            <w:gridSpan w:val="2"/>
            <w:vAlign w:val="center"/>
          </w:tcPr>
          <w:p w:rsidR="00175DA9" w:rsidRPr="00D70E0F" w:rsidRDefault="00175DA9" w:rsidP="00D70E0F">
            <w:pPr>
              <w:jc w:val="both"/>
              <w:rPr>
                <w:rFonts w:ascii="Arial" w:hAnsi="Arial" w:cs="Arial"/>
              </w:rPr>
            </w:pPr>
            <w:r w:rsidRPr="00D70E0F">
              <w:rPr>
                <w:rFonts w:ascii="Arial" w:hAnsi="Arial" w:cs="Arial"/>
              </w:rPr>
              <w:t>Avuţia de co</w:t>
            </w:r>
            <w:r w:rsidRPr="00D70E0F">
              <w:rPr>
                <w:rFonts w:ascii="Arial" w:hAnsi="Arial" w:cs="Arial"/>
              </w:rPr>
              <w:t>n</w:t>
            </w:r>
            <w:r w:rsidRPr="00D70E0F">
              <w:rPr>
                <w:rFonts w:ascii="Arial" w:hAnsi="Arial" w:cs="Arial"/>
              </w:rPr>
              <w:t>sum</w:t>
            </w:r>
          </w:p>
        </w:tc>
        <w:tc>
          <w:tcPr>
            <w:tcW w:w="1654" w:type="dxa"/>
            <w:gridSpan w:val="2"/>
            <w:vAlign w:val="center"/>
          </w:tcPr>
          <w:p w:rsidR="00175DA9" w:rsidRPr="00D70E0F" w:rsidRDefault="00175DA9" w:rsidP="00D70E0F">
            <w:pPr>
              <w:jc w:val="both"/>
              <w:rPr>
                <w:rFonts w:ascii="Arial" w:hAnsi="Arial" w:cs="Arial"/>
              </w:rPr>
            </w:pPr>
            <w:r w:rsidRPr="00D70E0F">
              <w:rPr>
                <w:rFonts w:ascii="Arial" w:hAnsi="Arial" w:cs="Arial"/>
              </w:rPr>
              <w:t>Avuţia product</w:t>
            </w:r>
            <w:r w:rsidRPr="00D70E0F">
              <w:rPr>
                <w:rFonts w:ascii="Arial" w:hAnsi="Arial" w:cs="Arial"/>
              </w:rPr>
              <w:t>i</w:t>
            </w:r>
            <w:r w:rsidRPr="00D70E0F">
              <w:rPr>
                <w:rFonts w:ascii="Arial" w:hAnsi="Arial" w:cs="Arial"/>
              </w:rPr>
              <w:t>vă</w:t>
            </w:r>
          </w:p>
        </w:tc>
        <w:tc>
          <w:tcPr>
            <w:tcW w:w="1157" w:type="dxa"/>
            <w:vMerge/>
            <w:vAlign w:val="center"/>
          </w:tcPr>
          <w:p w:rsidR="00175DA9" w:rsidRPr="00D70E0F" w:rsidRDefault="00175DA9" w:rsidP="00D70E0F">
            <w:pPr>
              <w:jc w:val="both"/>
              <w:rPr>
                <w:rFonts w:ascii="Arial" w:hAnsi="Arial" w:cs="Arial"/>
              </w:rPr>
            </w:pPr>
          </w:p>
        </w:tc>
      </w:tr>
      <w:tr w:rsidR="00175DA9" w:rsidRPr="00D70E0F" w:rsidTr="00D70E0F">
        <w:trPr>
          <w:jc w:val="center"/>
        </w:trPr>
        <w:tc>
          <w:tcPr>
            <w:tcW w:w="777" w:type="dxa"/>
            <w:vMerge/>
            <w:vAlign w:val="center"/>
          </w:tcPr>
          <w:p w:rsidR="00175DA9" w:rsidRPr="00D70E0F" w:rsidRDefault="00175DA9" w:rsidP="00D70E0F">
            <w:pPr>
              <w:jc w:val="both"/>
              <w:rPr>
                <w:rFonts w:ascii="Arial" w:hAnsi="Arial" w:cs="Arial"/>
              </w:rPr>
            </w:pPr>
          </w:p>
        </w:tc>
        <w:tc>
          <w:tcPr>
            <w:tcW w:w="917" w:type="dxa"/>
            <w:vMerge/>
            <w:vAlign w:val="center"/>
          </w:tcPr>
          <w:p w:rsidR="00175DA9" w:rsidRPr="00D70E0F" w:rsidRDefault="00175DA9" w:rsidP="00D70E0F">
            <w:pPr>
              <w:jc w:val="both"/>
              <w:rPr>
                <w:rFonts w:ascii="Arial" w:hAnsi="Arial" w:cs="Arial"/>
              </w:rPr>
            </w:pPr>
          </w:p>
        </w:tc>
        <w:tc>
          <w:tcPr>
            <w:tcW w:w="1297" w:type="dxa"/>
            <w:vMerge/>
            <w:vAlign w:val="center"/>
          </w:tcPr>
          <w:p w:rsidR="00175DA9" w:rsidRPr="00D70E0F" w:rsidRDefault="00175DA9" w:rsidP="00D70E0F">
            <w:pPr>
              <w:jc w:val="both"/>
              <w:rPr>
                <w:rFonts w:ascii="Arial" w:hAnsi="Arial" w:cs="Arial"/>
              </w:rPr>
            </w:pPr>
          </w:p>
        </w:tc>
        <w:tc>
          <w:tcPr>
            <w:tcW w:w="837" w:type="dxa"/>
            <w:vAlign w:val="center"/>
          </w:tcPr>
          <w:p w:rsidR="00175DA9" w:rsidRPr="00D70E0F" w:rsidRDefault="00175DA9" w:rsidP="00D70E0F">
            <w:pPr>
              <w:jc w:val="both"/>
              <w:rPr>
                <w:rFonts w:ascii="Arial" w:hAnsi="Arial" w:cs="Arial"/>
              </w:rPr>
            </w:pPr>
            <w:r w:rsidRPr="00D70E0F">
              <w:rPr>
                <w:rFonts w:ascii="Arial" w:hAnsi="Arial" w:cs="Arial"/>
              </w:rPr>
              <w:t>Opere artistice</w:t>
            </w:r>
          </w:p>
        </w:tc>
        <w:tc>
          <w:tcPr>
            <w:tcW w:w="887" w:type="dxa"/>
            <w:vMerge w:val="restart"/>
            <w:vAlign w:val="center"/>
          </w:tcPr>
          <w:p w:rsidR="00175DA9" w:rsidRPr="00D70E0F" w:rsidRDefault="00175DA9" w:rsidP="00D70E0F">
            <w:pPr>
              <w:jc w:val="both"/>
              <w:rPr>
                <w:rFonts w:ascii="Arial" w:hAnsi="Arial" w:cs="Arial"/>
              </w:rPr>
            </w:pPr>
            <w:r w:rsidRPr="00D70E0F">
              <w:rPr>
                <w:rFonts w:ascii="Arial" w:hAnsi="Arial" w:cs="Arial"/>
              </w:rPr>
              <w:t>Resurse naturale</w:t>
            </w:r>
          </w:p>
        </w:tc>
        <w:tc>
          <w:tcPr>
            <w:tcW w:w="1007" w:type="dxa"/>
            <w:vAlign w:val="center"/>
          </w:tcPr>
          <w:p w:rsidR="00175DA9" w:rsidRPr="00D70E0F" w:rsidRDefault="00175DA9" w:rsidP="00D70E0F">
            <w:pPr>
              <w:jc w:val="both"/>
              <w:rPr>
                <w:rFonts w:ascii="Arial" w:hAnsi="Arial" w:cs="Arial"/>
              </w:rPr>
            </w:pPr>
            <w:r w:rsidRPr="00D70E0F">
              <w:rPr>
                <w:rFonts w:ascii="Arial" w:hAnsi="Arial" w:cs="Arial"/>
              </w:rPr>
              <w:t>a menajelor</w:t>
            </w:r>
          </w:p>
        </w:tc>
        <w:tc>
          <w:tcPr>
            <w:tcW w:w="787" w:type="dxa"/>
            <w:vAlign w:val="center"/>
          </w:tcPr>
          <w:p w:rsidR="00175DA9" w:rsidRPr="00D70E0F" w:rsidRDefault="00175DA9" w:rsidP="00D70E0F">
            <w:pPr>
              <w:jc w:val="both"/>
              <w:rPr>
                <w:rFonts w:ascii="Arial" w:hAnsi="Arial" w:cs="Arial"/>
              </w:rPr>
            </w:pPr>
            <w:r w:rsidRPr="00D70E0F">
              <w:rPr>
                <w:rFonts w:ascii="Arial" w:hAnsi="Arial" w:cs="Arial"/>
              </w:rPr>
              <w:t>a statului</w:t>
            </w:r>
          </w:p>
        </w:tc>
        <w:tc>
          <w:tcPr>
            <w:tcW w:w="837" w:type="dxa"/>
            <w:vAlign w:val="center"/>
          </w:tcPr>
          <w:p w:rsidR="00175DA9" w:rsidRPr="00D70E0F" w:rsidRDefault="00175DA9" w:rsidP="00D70E0F">
            <w:pPr>
              <w:jc w:val="both"/>
              <w:rPr>
                <w:rFonts w:ascii="Arial" w:hAnsi="Arial" w:cs="Arial"/>
              </w:rPr>
            </w:pPr>
            <w:r w:rsidRPr="00D70E0F">
              <w:rPr>
                <w:rFonts w:ascii="Arial" w:hAnsi="Arial" w:cs="Arial"/>
              </w:rPr>
              <w:t>Bunuri capitale</w:t>
            </w:r>
          </w:p>
        </w:tc>
        <w:tc>
          <w:tcPr>
            <w:tcW w:w="817" w:type="dxa"/>
            <w:vAlign w:val="center"/>
          </w:tcPr>
          <w:p w:rsidR="00175DA9" w:rsidRPr="00D70E0F" w:rsidRDefault="00175DA9" w:rsidP="00D70E0F">
            <w:pPr>
              <w:jc w:val="both"/>
              <w:rPr>
                <w:rFonts w:ascii="Arial" w:hAnsi="Arial" w:cs="Arial"/>
              </w:rPr>
            </w:pPr>
            <w:r w:rsidRPr="00D70E0F">
              <w:rPr>
                <w:rFonts w:ascii="Arial" w:hAnsi="Arial" w:cs="Arial"/>
              </w:rPr>
              <w:t>Stocuri şi rezerve</w:t>
            </w:r>
          </w:p>
        </w:tc>
        <w:tc>
          <w:tcPr>
            <w:tcW w:w="1157" w:type="dxa"/>
            <w:vMerge/>
            <w:vAlign w:val="center"/>
          </w:tcPr>
          <w:p w:rsidR="00175DA9" w:rsidRPr="00D70E0F" w:rsidRDefault="00175DA9" w:rsidP="00D70E0F">
            <w:pPr>
              <w:jc w:val="both"/>
              <w:rPr>
                <w:rFonts w:ascii="Arial" w:hAnsi="Arial" w:cs="Arial"/>
              </w:rPr>
            </w:pPr>
          </w:p>
        </w:tc>
      </w:tr>
      <w:tr w:rsidR="00175DA9" w:rsidRPr="00D70E0F" w:rsidTr="00D70E0F">
        <w:trPr>
          <w:jc w:val="center"/>
        </w:trPr>
        <w:tc>
          <w:tcPr>
            <w:tcW w:w="3828" w:type="dxa"/>
            <w:gridSpan w:val="4"/>
            <w:vAlign w:val="center"/>
          </w:tcPr>
          <w:p w:rsidR="00175DA9" w:rsidRPr="00D70E0F" w:rsidRDefault="00175DA9" w:rsidP="00D70E0F">
            <w:pPr>
              <w:jc w:val="both"/>
              <w:rPr>
                <w:rFonts w:ascii="Arial" w:hAnsi="Arial" w:cs="Arial"/>
              </w:rPr>
            </w:pPr>
            <w:r w:rsidRPr="00D70E0F">
              <w:rPr>
                <w:rFonts w:ascii="Arial" w:hAnsi="Arial" w:cs="Arial"/>
              </w:rPr>
              <w:t>Resurse spirituale</w:t>
            </w:r>
          </w:p>
        </w:tc>
        <w:tc>
          <w:tcPr>
            <w:tcW w:w="887" w:type="dxa"/>
            <w:vMerge/>
            <w:vAlign w:val="center"/>
          </w:tcPr>
          <w:p w:rsidR="00175DA9" w:rsidRPr="00D70E0F" w:rsidRDefault="00175DA9" w:rsidP="00D70E0F">
            <w:pPr>
              <w:jc w:val="both"/>
              <w:rPr>
                <w:rFonts w:ascii="Arial" w:hAnsi="Arial" w:cs="Arial"/>
              </w:rPr>
            </w:pPr>
          </w:p>
        </w:tc>
        <w:tc>
          <w:tcPr>
            <w:tcW w:w="4605" w:type="dxa"/>
            <w:gridSpan w:val="5"/>
            <w:vAlign w:val="center"/>
          </w:tcPr>
          <w:p w:rsidR="00175DA9" w:rsidRPr="00D70E0F" w:rsidRDefault="00175DA9" w:rsidP="00D70E0F">
            <w:pPr>
              <w:jc w:val="both"/>
              <w:rPr>
                <w:rFonts w:ascii="Arial" w:hAnsi="Arial" w:cs="Arial"/>
              </w:rPr>
            </w:pPr>
            <w:r w:rsidRPr="00D70E0F">
              <w:rPr>
                <w:rFonts w:ascii="Arial" w:hAnsi="Arial" w:cs="Arial"/>
              </w:rPr>
              <w:t>Avuţia acumulată</w:t>
            </w:r>
          </w:p>
        </w:tc>
      </w:tr>
    </w:tbl>
    <w:p w:rsidR="00175DA9" w:rsidRPr="0022068A" w:rsidRDefault="00175DA9" w:rsidP="009047D5">
      <w:pPr>
        <w:pStyle w:val="Heading2"/>
        <w:jc w:val="both"/>
        <w:rPr>
          <w:sz w:val="22"/>
          <w:szCs w:val="22"/>
        </w:rPr>
      </w:pPr>
      <w:bookmarkStart w:id="6" w:name="_Toc61285066"/>
      <w:bookmarkStart w:id="7" w:name="_Toc61285291"/>
      <w:bookmarkStart w:id="8" w:name="_Toc61285377"/>
      <w:bookmarkStart w:id="9" w:name="_Toc61368720"/>
      <w:bookmarkStart w:id="10" w:name="_Toc61443933"/>
      <w:bookmarkStart w:id="11" w:name="_Toc61444239"/>
      <w:r w:rsidRPr="0022068A">
        <w:rPr>
          <w:sz w:val="22"/>
          <w:szCs w:val="22"/>
        </w:rPr>
        <w:t>1.1. Avuţia nematerială</w:t>
      </w:r>
      <w:bookmarkEnd w:id="6"/>
      <w:bookmarkEnd w:id="7"/>
      <w:bookmarkEnd w:id="8"/>
      <w:bookmarkEnd w:id="9"/>
      <w:bookmarkEnd w:id="10"/>
      <w:bookmarkEnd w:id="11"/>
    </w:p>
    <w:p w:rsidR="00175DA9" w:rsidRPr="0022068A" w:rsidRDefault="00175DA9" w:rsidP="0022068A">
      <w:pPr>
        <w:ind w:firstLine="360"/>
        <w:rPr>
          <w:rFonts w:ascii="Arial" w:hAnsi="Arial" w:cs="Arial"/>
          <w:sz w:val="22"/>
          <w:szCs w:val="22"/>
        </w:rPr>
      </w:pPr>
      <w:r w:rsidRPr="0022068A">
        <w:rPr>
          <w:rFonts w:ascii="Arial" w:hAnsi="Arial" w:cs="Arial"/>
          <w:sz w:val="22"/>
          <w:szCs w:val="22"/>
        </w:rPr>
        <w:t xml:space="preserve">Avuţia nematerială include avuţia social politică, capitalul uman şi avuţia nematerială reproductibilă. </w:t>
      </w:r>
    </w:p>
    <w:p w:rsidR="00175DA9" w:rsidRPr="0022068A" w:rsidRDefault="00175DA9" w:rsidP="0022068A">
      <w:pPr>
        <w:rPr>
          <w:rFonts w:ascii="Arial" w:hAnsi="Arial" w:cs="Arial"/>
          <w:sz w:val="22"/>
          <w:szCs w:val="22"/>
        </w:rPr>
      </w:pPr>
      <w:r w:rsidRPr="0022068A">
        <w:rPr>
          <w:rFonts w:ascii="Arial" w:hAnsi="Arial" w:cs="Arial"/>
          <w:sz w:val="22"/>
          <w:szCs w:val="22"/>
        </w:rPr>
        <w:t>Avuţia social-politică este determinată destul de vag şi se referă la libertatea individuală, securitatea individuală şi colectivă, etc., componente neevidenţiate statistic din cauza dificultăţilor de evaluare.</w:t>
      </w:r>
    </w:p>
    <w:p w:rsidR="00175DA9" w:rsidRPr="0022068A" w:rsidRDefault="00175DA9" w:rsidP="0022068A">
      <w:pPr>
        <w:rPr>
          <w:rFonts w:ascii="Arial" w:hAnsi="Arial" w:cs="Arial"/>
          <w:sz w:val="22"/>
          <w:szCs w:val="22"/>
        </w:rPr>
      </w:pPr>
      <w:r w:rsidRPr="0022068A">
        <w:rPr>
          <w:rFonts w:ascii="Arial" w:hAnsi="Arial" w:cs="Arial"/>
          <w:sz w:val="22"/>
          <w:szCs w:val="22"/>
        </w:rPr>
        <w:t>Capitalul uman indică stocul nereproductibil de capacităţi şi experienţe legate de persoane. Şi în acest caz dificultăţile de evaluare fac ca, în practica statistică, să nu se calculeze expresii numerice corespunz</w:t>
      </w:r>
      <w:r w:rsidRPr="0022068A">
        <w:rPr>
          <w:rFonts w:ascii="Arial" w:hAnsi="Arial" w:cs="Arial"/>
          <w:sz w:val="22"/>
          <w:szCs w:val="22"/>
        </w:rPr>
        <w:t>ă</w:t>
      </w:r>
      <w:r w:rsidRPr="0022068A">
        <w:rPr>
          <w:rFonts w:ascii="Arial" w:hAnsi="Arial" w:cs="Arial"/>
          <w:sz w:val="22"/>
          <w:szCs w:val="22"/>
        </w:rPr>
        <w:t>toare acestei categorii.</w:t>
      </w:r>
    </w:p>
    <w:p w:rsidR="00175DA9" w:rsidRPr="0022068A" w:rsidRDefault="00175DA9" w:rsidP="0022068A">
      <w:pPr>
        <w:rPr>
          <w:rFonts w:ascii="Arial" w:hAnsi="Arial" w:cs="Arial"/>
          <w:sz w:val="22"/>
          <w:szCs w:val="22"/>
        </w:rPr>
      </w:pPr>
      <w:r w:rsidRPr="0022068A">
        <w:rPr>
          <w:rFonts w:ascii="Arial" w:hAnsi="Arial" w:cs="Arial"/>
          <w:sz w:val="22"/>
          <w:szCs w:val="22"/>
        </w:rPr>
        <w:t>Avuţia nematerială reproductibilă reprezintă stocul de cunoştinţe nelegate de persoane şi care apare, în special, sub formă de cunoştinţe ştiinţifice, opere literare, descoperiri, etc.</w:t>
      </w:r>
    </w:p>
    <w:p w:rsidR="00175DA9" w:rsidRPr="0022068A" w:rsidRDefault="00175DA9" w:rsidP="009047D5">
      <w:pPr>
        <w:ind w:left="1080"/>
        <w:jc w:val="both"/>
        <w:rPr>
          <w:rFonts w:ascii="Arial" w:hAnsi="Arial" w:cs="Arial"/>
          <w:sz w:val="22"/>
          <w:szCs w:val="22"/>
        </w:rPr>
      </w:pPr>
    </w:p>
    <w:p w:rsidR="00175DA9" w:rsidRPr="0022068A" w:rsidRDefault="00175DA9" w:rsidP="009047D5">
      <w:pPr>
        <w:pStyle w:val="Heading2"/>
        <w:jc w:val="both"/>
        <w:rPr>
          <w:sz w:val="22"/>
          <w:szCs w:val="22"/>
        </w:rPr>
      </w:pPr>
      <w:bookmarkStart w:id="12" w:name="_Toc61285067"/>
      <w:bookmarkStart w:id="13" w:name="_Toc61285292"/>
      <w:bookmarkStart w:id="14" w:name="_Toc61285378"/>
      <w:bookmarkStart w:id="15" w:name="_Toc61368721"/>
      <w:bookmarkStart w:id="16" w:name="_Toc61443934"/>
      <w:bookmarkStart w:id="17" w:name="_Toc61444240"/>
      <w:r w:rsidRPr="0022068A">
        <w:rPr>
          <w:sz w:val="22"/>
          <w:szCs w:val="22"/>
        </w:rPr>
        <w:t>1.2. Avuţia materială</w:t>
      </w:r>
      <w:bookmarkEnd w:id="12"/>
      <w:bookmarkEnd w:id="13"/>
      <w:bookmarkEnd w:id="14"/>
      <w:bookmarkEnd w:id="15"/>
      <w:bookmarkEnd w:id="16"/>
      <w:bookmarkEnd w:id="17"/>
    </w:p>
    <w:p w:rsidR="00175DA9" w:rsidRPr="0022068A" w:rsidRDefault="00175DA9" w:rsidP="0022068A">
      <w:pPr>
        <w:rPr>
          <w:rFonts w:ascii="Arial" w:hAnsi="Arial" w:cs="Arial"/>
          <w:sz w:val="22"/>
          <w:szCs w:val="22"/>
        </w:rPr>
      </w:pPr>
      <w:r w:rsidRPr="0022068A">
        <w:rPr>
          <w:rFonts w:ascii="Arial" w:hAnsi="Arial" w:cs="Arial"/>
          <w:sz w:val="22"/>
          <w:szCs w:val="22"/>
        </w:rPr>
        <w:tab/>
        <w:t>Avuţia materială cuprinde o componentă nereproductibilă şi o alta reproductibilă, fiecare dintre acestea defalcându-se în alte ramuri.</w:t>
      </w:r>
    </w:p>
    <w:p w:rsidR="00175DA9" w:rsidRPr="0022068A" w:rsidRDefault="00175DA9" w:rsidP="0022068A">
      <w:pPr>
        <w:numPr>
          <w:ilvl w:val="0"/>
          <w:numId w:val="5"/>
        </w:numPr>
        <w:tabs>
          <w:tab w:val="clear" w:pos="1980"/>
          <w:tab w:val="num" w:pos="900"/>
        </w:tabs>
        <w:ind w:left="0" w:firstLine="720"/>
        <w:rPr>
          <w:rFonts w:ascii="Arial" w:hAnsi="Arial" w:cs="Arial"/>
          <w:sz w:val="22"/>
          <w:szCs w:val="22"/>
        </w:rPr>
      </w:pPr>
      <w:r w:rsidRPr="0022068A">
        <w:rPr>
          <w:rFonts w:ascii="Arial" w:hAnsi="Arial" w:cs="Arial"/>
          <w:sz w:val="22"/>
          <w:szCs w:val="22"/>
        </w:rPr>
        <w:lastRenderedPageBreak/>
        <w:t>Avuţia naţională nereproductibilă include resurse naturale atrase în circuitul economic (pământul, resursele minerale, pădurile, resursele de apă, etc.), dar şi operele artistice. Măsurarea statistică întâmpină şi în acest caz dificultăţi de evaluare.</w:t>
      </w:r>
    </w:p>
    <w:p w:rsidR="00175DA9" w:rsidRPr="0022068A" w:rsidRDefault="00175DA9" w:rsidP="0022068A">
      <w:pPr>
        <w:numPr>
          <w:ilvl w:val="0"/>
          <w:numId w:val="5"/>
        </w:numPr>
        <w:tabs>
          <w:tab w:val="clear" w:pos="1980"/>
          <w:tab w:val="num" w:pos="900"/>
        </w:tabs>
        <w:ind w:left="0" w:firstLine="720"/>
        <w:rPr>
          <w:rFonts w:ascii="Arial" w:hAnsi="Arial" w:cs="Arial"/>
          <w:sz w:val="22"/>
          <w:szCs w:val="22"/>
        </w:rPr>
      </w:pPr>
      <w:r w:rsidRPr="0022068A">
        <w:rPr>
          <w:rFonts w:ascii="Arial" w:hAnsi="Arial" w:cs="Arial"/>
          <w:sz w:val="22"/>
          <w:szCs w:val="22"/>
        </w:rPr>
        <w:t>Avuţia materială reproductibilă se împarte în avuţie de consum - care nu serveşte scopurilor productive şi care cuprinde, în principal, bunurile de consum durabile, aparţinând menajelor private (autoturisme, mobilă, etc.) şi bunurile capitale de natură militară (mijloacele „ofensive” ale statului) - şi în avuţie productivă (reprezentând stocur</w:t>
      </w:r>
      <w:r w:rsidRPr="0022068A">
        <w:rPr>
          <w:rFonts w:ascii="Arial" w:hAnsi="Arial" w:cs="Arial"/>
          <w:sz w:val="22"/>
          <w:szCs w:val="22"/>
        </w:rPr>
        <w:t>i</w:t>
      </w:r>
      <w:r w:rsidRPr="0022068A">
        <w:rPr>
          <w:rFonts w:ascii="Arial" w:hAnsi="Arial" w:cs="Arial"/>
          <w:sz w:val="22"/>
          <w:szCs w:val="22"/>
        </w:rPr>
        <w:t>le de bunuri care servesc preponderent scopurilor productive). Aceasta din urmă este formată din bunuri capitale (fonduri fixe sau active fixe) şi stocuri (rezerve).</w:t>
      </w:r>
    </w:p>
    <w:p w:rsidR="00175DA9" w:rsidRPr="0022068A" w:rsidRDefault="00175DA9" w:rsidP="009047D5">
      <w:pPr>
        <w:pStyle w:val="Heading2"/>
        <w:jc w:val="both"/>
        <w:rPr>
          <w:sz w:val="22"/>
          <w:szCs w:val="22"/>
        </w:rPr>
      </w:pPr>
      <w:bookmarkStart w:id="18" w:name="_Toc61285068"/>
      <w:bookmarkStart w:id="19" w:name="_Toc61285293"/>
      <w:bookmarkStart w:id="20" w:name="_Toc61285379"/>
      <w:bookmarkStart w:id="21" w:name="_Toc61368722"/>
      <w:bookmarkStart w:id="22" w:name="_Toc61443935"/>
      <w:bookmarkStart w:id="23" w:name="_Toc61444241"/>
      <w:r w:rsidRPr="0022068A">
        <w:rPr>
          <w:sz w:val="22"/>
          <w:szCs w:val="22"/>
        </w:rPr>
        <w:t>1.3. Poziţia netă în raport cu străinătatea</w:t>
      </w:r>
      <w:bookmarkEnd w:id="18"/>
      <w:bookmarkEnd w:id="19"/>
      <w:bookmarkEnd w:id="20"/>
      <w:bookmarkEnd w:id="21"/>
      <w:bookmarkEnd w:id="22"/>
      <w:bookmarkEnd w:id="23"/>
    </w:p>
    <w:p w:rsidR="00175DA9" w:rsidRPr="0022068A" w:rsidRDefault="00175DA9" w:rsidP="00690088">
      <w:pPr>
        <w:rPr>
          <w:rFonts w:ascii="Arial" w:hAnsi="Arial" w:cs="Arial"/>
          <w:sz w:val="22"/>
          <w:szCs w:val="22"/>
        </w:rPr>
      </w:pPr>
      <w:r w:rsidRPr="0022068A">
        <w:rPr>
          <w:rFonts w:ascii="Arial" w:hAnsi="Arial" w:cs="Arial"/>
          <w:sz w:val="22"/>
          <w:szCs w:val="22"/>
        </w:rPr>
        <w:tab/>
        <w:t>Reprezintă diferenţa dintre creanţele asupra altor ţări şi angajamentele ţării faţă de străinătate. Se implică numai poziţia netă în raport cu străinătatea deoarece creanţele şi angajamentele subiectelor şi sectoarelor interne se compensează, rămânând numai cele faţă de subiectele străine.</w:t>
      </w:r>
    </w:p>
    <w:p w:rsidR="00175DA9" w:rsidRPr="0022068A" w:rsidRDefault="00175DA9" w:rsidP="00690088">
      <w:pPr>
        <w:ind w:firstLine="708"/>
        <w:rPr>
          <w:rFonts w:ascii="Arial" w:hAnsi="Arial" w:cs="Arial"/>
          <w:sz w:val="22"/>
          <w:szCs w:val="22"/>
        </w:rPr>
      </w:pPr>
    </w:p>
    <w:p w:rsidR="00175DA9" w:rsidRPr="0022068A" w:rsidRDefault="00175DA9" w:rsidP="00690088">
      <w:pPr>
        <w:ind w:firstLine="708"/>
        <w:rPr>
          <w:rFonts w:ascii="Arial" w:hAnsi="Arial" w:cs="Arial"/>
          <w:sz w:val="22"/>
          <w:szCs w:val="22"/>
        </w:rPr>
      </w:pPr>
      <w:r w:rsidRPr="0022068A">
        <w:rPr>
          <w:rFonts w:ascii="Arial" w:hAnsi="Arial" w:cs="Arial"/>
          <w:sz w:val="22"/>
          <w:szCs w:val="22"/>
        </w:rPr>
        <w:t>In funcţie de componentele care se iau în calcul rezultă următoarele modalităţi de măsurare a avuţiei naţionale:</w:t>
      </w:r>
    </w:p>
    <w:p w:rsidR="00175DA9" w:rsidRPr="0022068A" w:rsidRDefault="00175DA9" w:rsidP="00690088">
      <w:pPr>
        <w:numPr>
          <w:ilvl w:val="0"/>
          <w:numId w:val="9"/>
        </w:numPr>
        <w:rPr>
          <w:rFonts w:ascii="Arial" w:hAnsi="Arial" w:cs="Arial"/>
          <w:sz w:val="22"/>
          <w:szCs w:val="22"/>
        </w:rPr>
      </w:pPr>
      <w:r w:rsidRPr="0022068A">
        <w:rPr>
          <w:rFonts w:ascii="Arial" w:hAnsi="Arial" w:cs="Arial"/>
          <w:sz w:val="22"/>
          <w:szCs w:val="22"/>
        </w:rPr>
        <w:t xml:space="preserve">Avuţia naţională cuprinde bunurile materiale reproductibile existente la un moment dat (capital fix, stocuri de materiale, bunuri de folosinţă îndelungată aflate la populaţie, etc.), precum şi poziţia netă faţă de străinătate. </w:t>
      </w:r>
      <w:r w:rsidR="00225732" w:rsidRPr="0022068A">
        <w:rPr>
          <w:rFonts w:ascii="Arial" w:hAnsi="Arial" w:cs="Arial"/>
          <w:sz w:val="22"/>
          <w:szCs w:val="22"/>
        </w:rPr>
        <w:t>Împreună</w:t>
      </w:r>
      <w:r w:rsidRPr="0022068A">
        <w:rPr>
          <w:rFonts w:ascii="Arial" w:hAnsi="Arial" w:cs="Arial"/>
          <w:sz w:val="22"/>
          <w:szCs w:val="22"/>
        </w:rPr>
        <w:t>, cele două componente alcătuiesc avuţia acumulată.</w:t>
      </w:r>
    </w:p>
    <w:p w:rsidR="00175DA9" w:rsidRPr="0022068A" w:rsidRDefault="00175DA9" w:rsidP="00690088">
      <w:pPr>
        <w:numPr>
          <w:ilvl w:val="0"/>
          <w:numId w:val="9"/>
        </w:numPr>
        <w:tabs>
          <w:tab w:val="num" w:pos="1080"/>
        </w:tabs>
        <w:rPr>
          <w:rFonts w:ascii="Arial" w:hAnsi="Arial" w:cs="Arial"/>
          <w:sz w:val="22"/>
          <w:szCs w:val="22"/>
        </w:rPr>
      </w:pPr>
      <w:r w:rsidRPr="0022068A">
        <w:rPr>
          <w:rFonts w:ascii="Arial" w:hAnsi="Arial" w:cs="Arial"/>
          <w:sz w:val="22"/>
          <w:szCs w:val="22"/>
        </w:rPr>
        <w:t>Avuţia naţională cuprinde avuţia acumulată şi resursele naturale evaluate economic.</w:t>
      </w:r>
    </w:p>
    <w:p w:rsidR="00175DA9" w:rsidRPr="0022068A" w:rsidRDefault="00175DA9" w:rsidP="00690088">
      <w:pPr>
        <w:numPr>
          <w:ilvl w:val="0"/>
          <w:numId w:val="9"/>
        </w:numPr>
        <w:tabs>
          <w:tab w:val="num" w:pos="1080"/>
        </w:tabs>
        <w:rPr>
          <w:rFonts w:ascii="Arial" w:hAnsi="Arial" w:cs="Arial"/>
          <w:sz w:val="22"/>
          <w:szCs w:val="22"/>
        </w:rPr>
      </w:pPr>
      <w:r w:rsidRPr="0022068A">
        <w:rPr>
          <w:rFonts w:ascii="Arial" w:hAnsi="Arial" w:cs="Arial"/>
          <w:sz w:val="22"/>
          <w:szCs w:val="22"/>
        </w:rPr>
        <w:t>Avuţia naţională cuprinde avuţia acumulată, resursele naturale şi resursele spirituale.</w:t>
      </w:r>
    </w:p>
    <w:p w:rsidR="00175DA9" w:rsidRPr="0022068A" w:rsidRDefault="00175DA9" w:rsidP="00690088">
      <w:pPr>
        <w:ind w:firstLine="705"/>
        <w:rPr>
          <w:rFonts w:ascii="Arial" w:hAnsi="Arial" w:cs="Arial"/>
          <w:sz w:val="22"/>
          <w:szCs w:val="22"/>
        </w:rPr>
      </w:pPr>
      <w:r w:rsidRPr="0022068A">
        <w:rPr>
          <w:rFonts w:ascii="Arial" w:hAnsi="Arial" w:cs="Arial"/>
          <w:sz w:val="22"/>
          <w:szCs w:val="22"/>
        </w:rPr>
        <w:t>Cea de-a treia variantă corespunde cel mai bine conceptului de avuţie naţională, de aceea un sistem al indicatorilor avuţiei naţionale trebuie să cuprindă: indicatori ai avuţiei acumulate, ai resurselor naturale şi ai celor spirituale. In mod curent, însă, în calculul avuţiei naţionale sunt considerate numai bunurile materiale acumulate (reproduct</w:t>
      </w:r>
      <w:r w:rsidRPr="0022068A">
        <w:rPr>
          <w:rFonts w:ascii="Arial" w:hAnsi="Arial" w:cs="Arial"/>
          <w:sz w:val="22"/>
          <w:szCs w:val="22"/>
        </w:rPr>
        <w:t>i</w:t>
      </w:r>
      <w:r w:rsidRPr="0022068A">
        <w:rPr>
          <w:rFonts w:ascii="Arial" w:hAnsi="Arial" w:cs="Arial"/>
          <w:sz w:val="22"/>
          <w:szCs w:val="22"/>
        </w:rPr>
        <w:t>bile) şi poziţia netă în raport cu străinătatea, aşadar numai avuţia acumulată.</w:t>
      </w:r>
    </w:p>
    <w:p w:rsidR="00175DA9" w:rsidRPr="0022068A" w:rsidRDefault="00175DA9" w:rsidP="00690088">
      <w:pPr>
        <w:ind w:firstLine="705"/>
        <w:rPr>
          <w:rFonts w:ascii="Arial" w:hAnsi="Arial" w:cs="Arial"/>
          <w:sz w:val="22"/>
          <w:szCs w:val="22"/>
        </w:rPr>
      </w:pPr>
      <w:r w:rsidRPr="0022068A">
        <w:rPr>
          <w:rFonts w:ascii="Arial" w:hAnsi="Arial" w:cs="Arial"/>
          <w:sz w:val="22"/>
          <w:szCs w:val="22"/>
        </w:rPr>
        <w:t>Calculată astfel, avuţia naţională are următoarele caracteristici:</w:t>
      </w:r>
    </w:p>
    <w:p w:rsidR="00175DA9" w:rsidRPr="0022068A" w:rsidRDefault="00175DA9" w:rsidP="00690088">
      <w:pPr>
        <w:numPr>
          <w:ilvl w:val="0"/>
          <w:numId w:val="7"/>
        </w:numPr>
        <w:tabs>
          <w:tab w:val="clear" w:pos="2685"/>
          <w:tab w:val="num" w:pos="1080"/>
        </w:tabs>
        <w:ind w:left="0" w:firstLine="720"/>
        <w:rPr>
          <w:rFonts w:ascii="Arial" w:hAnsi="Arial" w:cs="Arial"/>
          <w:sz w:val="22"/>
          <w:szCs w:val="22"/>
        </w:rPr>
      </w:pPr>
      <w:r w:rsidRPr="0022068A">
        <w:rPr>
          <w:rFonts w:ascii="Arial" w:hAnsi="Arial" w:cs="Arial"/>
          <w:sz w:val="22"/>
          <w:szCs w:val="22"/>
        </w:rPr>
        <w:t>este rezultatul acumulării, an de an, a unei părţi din venitul naţional</w:t>
      </w:r>
    </w:p>
    <w:p w:rsidR="00175DA9" w:rsidRPr="0022068A" w:rsidRDefault="00175DA9" w:rsidP="00690088">
      <w:pPr>
        <w:numPr>
          <w:ilvl w:val="0"/>
          <w:numId w:val="7"/>
        </w:numPr>
        <w:tabs>
          <w:tab w:val="clear" w:pos="2685"/>
          <w:tab w:val="num" w:pos="1080"/>
        </w:tabs>
        <w:ind w:left="0" w:firstLine="720"/>
        <w:rPr>
          <w:rFonts w:ascii="Arial" w:hAnsi="Arial" w:cs="Arial"/>
          <w:sz w:val="22"/>
          <w:szCs w:val="22"/>
        </w:rPr>
      </w:pPr>
      <w:r w:rsidRPr="0022068A">
        <w:rPr>
          <w:rFonts w:ascii="Arial" w:hAnsi="Arial" w:cs="Arial"/>
          <w:sz w:val="22"/>
          <w:szCs w:val="22"/>
        </w:rPr>
        <w:t>bunurile materiale care constituie avuţia naţională sunt disponibile pentru a fi utilizate</w:t>
      </w:r>
    </w:p>
    <w:p w:rsidR="00175DA9" w:rsidRPr="0022068A" w:rsidRDefault="00175DA9" w:rsidP="00690088">
      <w:pPr>
        <w:numPr>
          <w:ilvl w:val="0"/>
          <w:numId w:val="7"/>
        </w:numPr>
        <w:tabs>
          <w:tab w:val="clear" w:pos="2685"/>
          <w:tab w:val="num" w:pos="1080"/>
        </w:tabs>
        <w:ind w:left="0" w:firstLine="720"/>
        <w:rPr>
          <w:rFonts w:ascii="Arial" w:hAnsi="Arial" w:cs="Arial"/>
          <w:sz w:val="22"/>
          <w:szCs w:val="22"/>
        </w:rPr>
      </w:pPr>
      <w:r w:rsidRPr="0022068A">
        <w:rPr>
          <w:rFonts w:ascii="Arial" w:hAnsi="Arial" w:cs="Arial"/>
          <w:sz w:val="22"/>
          <w:szCs w:val="22"/>
        </w:rPr>
        <w:t>avuţia naţională se poate calcula după două principii: cel teritorial (conform căruia avuţia naţională cuprinde toate componentele acesteia, situate pe teritoriul ţării pentru care se face calculul)  şi cel naţional (conform acestuia în avuţia naţională se includ bunurile materiale de naţionalitatea ţării, care se găsesc pe teritoriul ţării sau în străinătate, excluzându-se bunurile ţărilor străine sit</w:t>
      </w:r>
      <w:r w:rsidRPr="0022068A">
        <w:rPr>
          <w:rFonts w:ascii="Arial" w:hAnsi="Arial" w:cs="Arial"/>
          <w:sz w:val="22"/>
          <w:szCs w:val="22"/>
        </w:rPr>
        <w:t>u</w:t>
      </w:r>
      <w:r w:rsidRPr="0022068A">
        <w:rPr>
          <w:rFonts w:ascii="Arial" w:hAnsi="Arial" w:cs="Arial"/>
          <w:sz w:val="22"/>
          <w:szCs w:val="22"/>
        </w:rPr>
        <w:t xml:space="preserve">ate pe teritoriul naţional). </w:t>
      </w:r>
    </w:p>
    <w:p w:rsidR="00E515C0" w:rsidRPr="0022068A" w:rsidRDefault="00E515C0" w:rsidP="00690088">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1"/>
        <w:gridCol w:w="1701"/>
        <w:gridCol w:w="1701"/>
        <w:gridCol w:w="1701"/>
      </w:tblGrid>
      <w:tr w:rsidR="00E77CEE" w:rsidRPr="00D70E0F" w:rsidTr="00D70E0F">
        <w:trPr>
          <w:trHeight w:val="567"/>
        </w:trPr>
        <w:tc>
          <w:tcPr>
            <w:tcW w:w="1701" w:type="dxa"/>
            <w:tcBorders>
              <w:top w:val="nil"/>
              <w:left w:val="nil"/>
            </w:tcBorders>
          </w:tcPr>
          <w:p w:rsidR="00E77CEE" w:rsidRPr="00D70E0F" w:rsidRDefault="00E77CEE" w:rsidP="00D70E0F">
            <w:pPr>
              <w:pStyle w:val="Heading1"/>
              <w:tabs>
                <w:tab w:val="left" w:pos="720"/>
              </w:tabs>
              <w:jc w:val="both"/>
              <w:rPr>
                <w:b w:val="0"/>
                <w:sz w:val="24"/>
                <w:szCs w:val="24"/>
              </w:rPr>
            </w:pPr>
          </w:p>
        </w:tc>
        <w:tc>
          <w:tcPr>
            <w:tcW w:w="1701" w:type="dxa"/>
          </w:tcPr>
          <w:p w:rsidR="00E77CEE" w:rsidRPr="00D70E0F" w:rsidRDefault="00E77CEE" w:rsidP="00D70E0F">
            <w:pPr>
              <w:pStyle w:val="Heading1"/>
              <w:tabs>
                <w:tab w:val="left" w:pos="720"/>
              </w:tabs>
              <w:jc w:val="both"/>
              <w:rPr>
                <w:b w:val="0"/>
                <w:sz w:val="24"/>
                <w:szCs w:val="24"/>
              </w:rPr>
            </w:pPr>
            <w:r w:rsidRPr="00D70E0F">
              <w:rPr>
                <w:b w:val="0"/>
                <w:sz w:val="24"/>
                <w:szCs w:val="24"/>
              </w:rPr>
              <w:t>1998</w:t>
            </w:r>
          </w:p>
        </w:tc>
        <w:tc>
          <w:tcPr>
            <w:tcW w:w="1701" w:type="dxa"/>
          </w:tcPr>
          <w:p w:rsidR="00E77CEE" w:rsidRPr="00D70E0F" w:rsidRDefault="00E77CEE" w:rsidP="00D70E0F">
            <w:pPr>
              <w:pStyle w:val="Heading1"/>
              <w:tabs>
                <w:tab w:val="left" w:pos="720"/>
              </w:tabs>
              <w:jc w:val="both"/>
              <w:rPr>
                <w:b w:val="0"/>
                <w:sz w:val="24"/>
                <w:szCs w:val="24"/>
              </w:rPr>
            </w:pPr>
            <w:r w:rsidRPr="00D70E0F">
              <w:rPr>
                <w:b w:val="0"/>
                <w:sz w:val="24"/>
                <w:szCs w:val="24"/>
              </w:rPr>
              <w:t>1999</w:t>
            </w:r>
          </w:p>
        </w:tc>
        <w:tc>
          <w:tcPr>
            <w:tcW w:w="1701" w:type="dxa"/>
          </w:tcPr>
          <w:p w:rsidR="00E77CEE" w:rsidRPr="00D70E0F" w:rsidRDefault="00E77CEE" w:rsidP="00D70E0F">
            <w:pPr>
              <w:pStyle w:val="Heading1"/>
              <w:tabs>
                <w:tab w:val="left" w:pos="720"/>
              </w:tabs>
              <w:jc w:val="both"/>
              <w:rPr>
                <w:b w:val="0"/>
                <w:sz w:val="24"/>
                <w:szCs w:val="24"/>
              </w:rPr>
            </w:pPr>
            <w:r w:rsidRPr="00D70E0F">
              <w:rPr>
                <w:b w:val="0"/>
                <w:sz w:val="24"/>
                <w:szCs w:val="24"/>
              </w:rPr>
              <w:t>2000</w:t>
            </w:r>
          </w:p>
        </w:tc>
      </w:tr>
      <w:tr w:rsidR="00E77CEE" w:rsidRPr="00D70E0F" w:rsidTr="00D70E0F">
        <w:trPr>
          <w:trHeight w:val="567"/>
        </w:trPr>
        <w:tc>
          <w:tcPr>
            <w:tcW w:w="1701" w:type="dxa"/>
          </w:tcPr>
          <w:p w:rsidR="00E77CEE" w:rsidRPr="00D70E0F" w:rsidRDefault="00E77CEE" w:rsidP="00D70E0F">
            <w:pPr>
              <w:pStyle w:val="Heading1"/>
              <w:tabs>
                <w:tab w:val="left" w:pos="720"/>
              </w:tabs>
              <w:jc w:val="both"/>
              <w:rPr>
                <w:b w:val="0"/>
                <w:sz w:val="24"/>
                <w:szCs w:val="24"/>
              </w:rPr>
            </w:pPr>
            <w:r w:rsidRPr="00D70E0F">
              <w:rPr>
                <w:b w:val="0"/>
                <w:sz w:val="24"/>
                <w:szCs w:val="24"/>
              </w:rPr>
              <w:t>PIB (mld.lei)</w:t>
            </w:r>
          </w:p>
        </w:tc>
        <w:tc>
          <w:tcPr>
            <w:tcW w:w="1701" w:type="dxa"/>
          </w:tcPr>
          <w:p w:rsidR="00E77CEE" w:rsidRPr="00D70E0F" w:rsidRDefault="00E77CEE" w:rsidP="00D70E0F">
            <w:pPr>
              <w:pStyle w:val="Heading1"/>
              <w:tabs>
                <w:tab w:val="left" w:pos="720"/>
              </w:tabs>
              <w:jc w:val="both"/>
              <w:rPr>
                <w:b w:val="0"/>
                <w:sz w:val="24"/>
                <w:szCs w:val="24"/>
              </w:rPr>
            </w:pPr>
            <w:r w:rsidRPr="00D70E0F">
              <w:rPr>
                <w:b w:val="0"/>
                <w:sz w:val="24"/>
                <w:szCs w:val="24"/>
              </w:rPr>
              <w:t>373798,2</w:t>
            </w:r>
          </w:p>
        </w:tc>
        <w:tc>
          <w:tcPr>
            <w:tcW w:w="1701" w:type="dxa"/>
          </w:tcPr>
          <w:p w:rsidR="00E77CEE" w:rsidRPr="00D70E0F" w:rsidRDefault="00E77CEE" w:rsidP="00D70E0F">
            <w:pPr>
              <w:pStyle w:val="Heading1"/>
              <w:tabs>
                <w:tab w:val="left" w:pos="720"/>
              </w:tabs>
              <w:jc w:val="both"/>
              <w:rPr>
                <w:b w:val="0"/>
                <w:sz w:val="24"/>
                <w:szCs w:val="24"/>
              </w:rPr>
            </w:pPr>
            <w:r w:rsidRPr="00D70E0F">
              <w:rPr>
                <w:b w:val="0"/>
                <w:sz w:val="24"/>
                <w:szCs w:val="24"/>
              </w:rPr>
              <w:t>545730,2</w:t>
            </w:r>
          </w:p>
        </w:tc>
        <w:tc>
          <w:tcPr>
            <w:tcW w:w="1701" w:type="dxa"/>
          </w:tcPr>
          <w:p w:rsidR="00E77CEE" w:rsidRPr="00D70E0F" w:rsidRDefault="00E77CEE" w:rsidP="00D70E0F">
            <w:pPr>
              <w:pStyle w:val="Heading1"/>
              <w:tabs>
                <w:tab w:val="left" w:pos="720"/>
              </w:tabs>
              <w:jc w:val="both"/>
              <w:rPr>
                <w:b w:val="0"/>
                <w:sz w:val="24"/>
                <w:szCs w:val="24"/>
              </w:rPr>
            </w:pPr>
            <w:r w:rsidRPr="00D70E0F">
              <w:rPr>
                <w:b w:val="0"/>
                <w:sz w:val="24"/>
                <w:szCs w:val="24"/>
              </w:rPr>
              <w:t>803773,1</w:t>
            </w:r>
          </w:p>
        </w:tc>
      </w:tr>
      <w:tr w:rsidR="00E77CEE" w:rsidRPr="00D70E0F" w:rsidTr="00D70E0F">
        <w:trPr>
          <w:trHeight w:val="567"/>
        </w:trPr>
        <w:tc>
          <w:tcPr>
            <w:tcW w:w="1701" w:type="dxa"/>
          </w:tcPr>
          <w:p w:rsidR="00E77CEE" w:rsidRPr="00D70E0F" w:rsidRDefault="00E77CEE" w:rsidP="00D70E0F">
            <w:pPr>
              <w:pStyle w:val="Heading1"/>
              <w:tabs>
                <w:tab w:val="left" w:pos="720"/>
              </w:tabs>
              <w:jc w:val="both"/>
              <w:rPr>
                <w:b w:val="0"/>
                <w:sz w:val="24"/>
                <w:szCs w:val="24"/>
              </w:rPr>
            </w:pPr>
            <w:r w:rsidRPr="00D70E0F">
              <w:rPr>
                <w:b w:val="0"/>
                <w:sz w:val="24"/>
                <w:szCs w:val="24"/>
              </w:rPr>
              <w:t>VAB (mld.lei)</w:t>
            </w:r>
          </w:p>
        </w:tc>
        <w:tc>
          <w:tcPr>
            <w:tcW w:w="1701" w:type="dxa"/>
          </w:tcPr>
          <w:p w:rsidR="00E77CEE" w:rsidRPr="00D70E0F" w:rsidRDefault="00E77CEE" w:rsidP="00D70E0F">
            <w:pPr>
              <w:pStyle w:val="Heading1"/>
              <w:tabs>
                <w:tab w:val="left" w:pos="720"/>
              </w:tabs>
              <w:jc w:val="both"/>
              <w:rPr>
                <w:b w:val="0"/>
                <w:sz w:val="24"/>
                <w:szCs w:val="24"/>
              </w:rPr>
            </w:pPr>
            <w:r w:rsidRPr="00D70E0F">
              <w:rPr>
                <w:b w:val="0"/>
                <w:sz w:val="24"/>
                <w:szCs w:val="24"/>
              </w:rPr>
              <w:t>331547,6</w:t>
            </w:r>
          </w:p>
        </w:tc>
        <w:tc>
          <w:tcPr>
            <w:tcW w:w="1701" w:type="dxa"/>
          </w:tcPr>
          <w:p w:rsidR="00E77CEE" w:rsidRPr="00D70E0F" w:rsidRDefault="00E77CEE" w:rsidP="00D70E0F">
            <w:pPr>
              <w:pStyle w:val="Heading1"/>
              <w:tabs>
                <w:tab w:val="left" w:pos="720"/>
              </w:tabs>
              <w:jc w:val="both"/>
              <w:rPr>
                <w:b w:val="0"/>
                <w:sz w:val="24"/>
                <w:szCs w:val="24"/>
              </w:rPr>
            </w:pPr>
            <w:r w:rsidRPr="00D70E0F">
              <w:rPr>
                <w:b w:val="0"/>
                <w:sz w:val="24"/>
                <w:szCs w:val="24"/>
              </w:rPr>
              <w:t>480475,1</w:t>
            </w:r>
          </w:p>
        </w:tc>
        <w:tc>
          <w:tcPr>
            <w:tcW w:w="1701" w:type="dxa"/>
          </w:tcPr>
          <w:p w:rsidR="00E77CEE" w:rsidRPr="00D70E0F" w:rsidRDefault="00E77CEE" w:rsidP="00D70E0F">
            <w:pPr>
              <w:pStyle w:val="Heading1"/>
              <w:tabs>
                <w:tab w:val="left" w:pos="720"/>
              </w:tabs>
              <w:jc w:val="both"/>
              <w:rPr>
                <w:b w:val="0"/>
                <w:sz w:val="24"/>
                <w:szCs w:val="24"/>
              </w:rPr>
            </w:pPr>
            <w:r w:rsidRPr="00D70E0F">
              <w:rPr>
                <w:b w:val="0"/>
                <w:sz w:val="24"/>
                <w:szCs w:val="24"/>
              </w:rPr>
              <w:t>711132,5</w:t>
            </w:r>
          </w:p>
        </w:tc>
      </w:tr>
    </w:tbl>
    <w:p w:rsidR="00175DA9" w:rsidRPr="00225732" w:rsidRDefault="003A6474" w:rsidP="009047D5">
      <w:pPr>
        <w:pStyle w:val="Heading1"/>
        <w:tabs>
          <w:tab w:val="left" w:pos="720"/>
        </w:tabs>
        <w:jc w:val="both"/>
        <w:rPr>
          <w:sz w:val="24"/>
          <w:szCs w:val="24"/>
        </w:rPr>
      </w:pPr>
      <w:r>
        <w:rPr>
          <w:noProof/>
          <w:sz w:val="24"/>
          <w:szCs w:val="24"/>
          <w:lang w:val="en-US" w:eastAsia="en-US"/>
        </w:rPr>
        <w:drawing>
          <wp:inline distT="0" distB="0" distL="0" distR="0">
            <wp:extent cx="2743200" cy="1828800"/>
            <wp:effectExtent l="0" t="0" r="0" b="0"/>
            <wp:docPr id="1" name="Objec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sectPr w:rsidR="00175DA9" w:rsidRPr="00225732" w:rsidSect="009B0ADE">
      <w:headerReference w:type="default" r:id="rId9"/>
      <w:footerReference w:type="even" r:id="rId10"/>
      <w:footerReference w:type="default" r:id="rId11"/>
      <w:headerReference w:type="first" r:id="rId12"/>
      <w:pgSz w:w="15842" w:h="12242" w:orient="landscape" w:code="1"/>
      <w:pgMar w:top="1418" w:right="1418" w:bottom="1418" w:left="1418" w:header="709" w:footer="709"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7B97" w:rsidRDefault="004A7B97">
      <w:r>
        <w:separator/>
      </w:r>
    </w:p>
  </w:endnote>
  <w:endnote w:type="continuationSeparator" w:id="1">
    <w:p w:rsidR="004A7B97" w:rsidRDefault="004A7B9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5732" w:rsidRDefault="00225732" w:rsidP="007257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25732" w:rsidRDefault="0022573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89C" w:rsidRDefault="00DA489C" w:rsidP="00C343F6">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7B97" w:rsidRDefault="004A7B97">
      <w:r>
        <w:separator/>
      </w:r>
    </w:p>
  </w:footnote>
  <w:footnote w:type="continuationSeparator" w:id="1">
    <w:p w:rsidR="004A7B97" w:rsidRDefault="004A7B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8DE" w:rsidRPr="00CA58DE" w:rsidRDefault="00DA489C" w:rsidP="00DA489C">
    <w:pPr>
      <w:pStyle w:val="Header"/>
      <w:tabs>
        <w:tab w:val="left" w:pos="3131"/>
        <w:tab w:val="right" w:pos="9406"/>
      </w:tabs>
      <w:rPr>
        <w:lang w:val="en-US"/>
      </w:rPr>
    </w:pPr>
    <w:r>
      <w:rPr>
        <w:lang w:val="en-US"/>
      </w:rPr>
      <w:tab/>
    </w:r>
    <w:r>
      <w:rPr>
        <w:lang w:val="en-US"/>
      </w:rPr>
      <w:tab/>
    </w:r>
    <w:r>
      <w:rPr>
        <w:lang w:val="en-US"/>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3E9" w:rsidRDefault="008E53E9" w:rsidP="0072578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8E53E9" w:rsidRDefault="008E53E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D0B1A"/>
    <w:multiLevelType w:val="hybridMultilevel"/>
    <w:tmpl w:val="39A4A3D0"/>
    <w:lvl w:ilvl="0" w:tplc="B5400F3A">
      <w:start w:val="1"/>
      <w:numFmt w:val="bullet"/>
      <w:lvlText w:val="-"/>
      <w:lvlJc w:val="left"/>
      <w:pPr>
        <w:tabs>
          <w:tab w:val="num" w:pos="2685"/>
        </w:tabs>
        <w:ind w:left="3014" w:hanging="329"/>
      </w:pPr>
      <w:rPr>
        <w:rFonts w:ascii="Arial" w:hAnsi="Arial" w:hint="default"/>
        <w:sz w:val="18"/>
        <w:szCs w:val="18"/>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
    <w:nsid w:val="0A520F8E"/>
    <w:multiLevelType w:val="multilevel"/>
    <w:tmpl w:val="C666C7D6"/>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423"/>
        </w:tabs>
        <w:ind w:left="1423" w:hanging="720"/>
      </w:pPr>
      <w:rPr>
        <w:rFonts w:hint="default"/>
      </w:rPr>
    </w:lvl>
    <w:lvl w:ilvl="2">
      <w:start w:val="1"/>
      <w:numFmt w:val="decimal"/>
      <w:lvlText w:val="%1.%2.%3."/>
      <w:lvlJc w:val="left"/>
      <w:pPr>
        <w:tabs>
          <w:tab w:val="num" w:pos="2126"/>
        </w:tabs>
        <w:ind w:left="2126" w:hanging="720"/>
      </w:pPr>
      <w:rPr>
        <w:rFonts w:hint="default"/>
      </w:rPr>
    </w:lvl>
    <w:lvl w:ilvl="3">
      <w:start w:val="1"/>
      <w:numFmt w:val="decimal"/>
      <w:lvlText w:val="%1.%2.%3.%4."/>
      <w:lvlJc w:val="left"/>
      <w:pPr>
        <w:tabs>
          <w:tab w:val="num" w:pos="2829"/>
        </w:tabs>
        <w:ind w:left="2829" w:hanging="720"/>
      </w:pPr>
      <w:rPr>
        <w:rFonts w:hint="default"/>
      </w:rPr>
    </w:lvl>
    <w:lvl w:ilvl="4">
      <w:start w:val="1"/>
      <w:numFmt w:val="decimal"/>
      <w:lvlText w:val="%1.%2.%3.%4.%5."/>
      <w:lvlJc w:val="left"/>
      <w:pPr>
        <w:tabs>
          <w:tab w:val="num" w:pos="3892"/>
        </w:tabs>
        <w:ind w:left="3892" w:hanging="1080"/>
      </w:pPr>
      <w:rPr>
        <w:rFonts w:hint="default"/>
      </w:rPr>
    </w:lvl>
    <w:lvl w:ilvl="5">
      <w:start w:val="1"/>
      <w:numFmt w:val="decimal"/>
      <w:lvlText w:val="%1.%2.%3.%4.%5.%6."/>
      <w:lvlJc w:val="left"/>
      <w:pPr>
        <w:tabs>
          <w:tab w:val="num" w:pos="4595"/>
        </w:tabs>
        <w:ind w:left="4595" w:hanging="1080"/>
      </w:pPr>
      <w:rPr>
        <w:rFonts w:hint="default"/>
      </w:rPr>
    </w:lvl>
    <w:lvl w:ilvl="6">
      <w:start w:val="1"/>
      <w:numFmt w:val="decimal"/>
      <w:lvlText w:val="%1.%2.%3.%4.%5.%6.%7."/>
      <w:lvlJc w:val="left"/>
      <w:pPr>
        <w:tabs>
          <w:tab w:val="num" w:pos="5658"/>
        </w:tabs>
        <w:ind w:left="5658" w:hanging="1440"/>
      </w:pPr>
      <w:rPr>
        <w:rFonts w:hint="default"/>
      </w:rPr>
    </w:lvl>
    <w:lvl w:ilvl="7">
      <w:start w:val="1"/>
      <w:numFmt w:val="decimal"/>
      <w:lvlText w:val="%1.%2.%3.%4.%5.%6.%7.%8."/>
      <w:lvlJc w:val="left"/>
      <w:pPr>
        <w:tabs>
          <w:tab w:val="num" w:pos="6361"/>
        </w:tabs>
        <w:ind w:left="6361" w:hanging="1440"/>
      </w:pPr>
      <w:rPr>
        <w:rFonts w:hint="default"/>
      </w:rPr>
    </w:lvl>
    <w:lvl w:ilvl="8">
      <w:start w:val="1"/>
      <w:numFmt w:val="decimal"/>
      <w:lvlText w:val="%1.%2.%3.%4.%5.%6.%7.%8.%9."/>
      <w:lvlJc w:val="left"/>
      <w:pPr>
        <w:tabs>
          <w:tab w:val="num" w:pos="7424"/>
        </w:tabs>
        <w:ind w:left="7424" w:hanging="1800"/>
      </w:pPr>
      <w:rPr>
        <w:rFonts w:hint="default"/>
      </w:rPr>
    </w:lvl>
  </w:abstractNum>
  <w:abstractNum w:abstractNumId="2">
    <w:nsid w:val="0B531B99"/>
    <w:multiLevelType w:val="multilevel"/>
    <w:tmpl w:val="1E72581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2"/>
      <w:numFmt w:val="none"/>
      <w:lvlText w:val="3.1."/>
      <w:lvlJc w:val="left"/>
      <w:pPr>
        <w:tabs>
          <w:tab w:val="num" w:pos="1440"/>
        </w:tabs>
        <w:ind w:left="1224" w:hanging="504"/>
      </w:pPr>
      <w:rPr>
        <w:rFonts w:hint="default"/>
        <w:sz w:val="26"/>
        <w:szCs w:val="26"/>
      </w:rPr>
    </w:lvl>
    <w:lvl w:ilvl="3">
      <w:start w:val="1"/>
      <w:numFmt w:val="decimal"/>
      <w:lvlText w:val="%1.%2.%3.%4."/>
      <w:lvlJc w:val="left"/>
      <w:pPr>
        <w:tabs>
          <w:tab w:val="num" w:pos="2160"/>
        </w:tabs>
        <w:ind w:left="1728" w:hanging="648"/>
      </w:pPr>
      <w:rPr>
        <w:rFonts w:hint="default"/>
      </w:rPr>
    </w:lvl>
    <w:lvl w:ilvl="4">
      <w:start w:val="1"/>
      <w:numFmt w:val="upperRoman"/>
      <w:lvlText w:val="%5."/>
      <w:lvlJc w:val="right"/>
      <w:pPr>
        <w:tabs>
          <w:tab w:val="num" w:pos="1620"/>
        </w:tabs>
        <w:ind w:left="1620" w:hanging="18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0DFB09AC"/>
    <w:multiLevelType w:val="hybridMultilevel"/>
    <w:tmpl w:val="12523178"/>
    <w:lvl w:ilvl="0" w:tplc="114AC11E">
      <w:start w:val="1"/>
      <w:numFmt w:val="decimal"/>
      <w:lvlText w:val="%1."/>
      <w:lvlJc w:val="left"/>
      <w:pPr>
        <w:tabs>
          <w:tab w:val="num" w:pos="720"/>
        </w:tabs>
        <w:ind w:left="720" w:hanging="360"/>
      </w:pPr>
      <w:rPr>
        <w:rFonts w:hint="default"/>
      </w:rPr>
    </w:lvl>
    <w:lvl w:ilvl="1" w:tplc="169228EE">
      <w:numFmt w:val="none"/>
      <w:lvlText w:val=""/>
      <w:lvlJc w:val="left"/>
      <w:pPr>
        <w:tabs>
          <w:tab w:val="num" w:pos="360"/>
        </w:tabs>
      </w:pPr>
    </w:lvl>
    <w:lvl w:ilvl="2" w:tplc="971C7C64">
      <w:numFmt w:val="none"/>
      <w:lvlText w:val=""/>
      <w:lvlJc w:val="left"/>
      <w:pPr>
        <w:tabs>
          <w:tab w:val="num" w:pos="360"/>
        </w:tabs>
      </w:pPr>
    </w:lvl>
    <w:lvl w:ilvl="3" w:tplc="92A660F6">
      <w:numFmt w:val="none"/>
      <w:lvlText w:val=""/>
      <w:lvlJc w:val="left"/>
      <w:pPr>
        <w:tabs>
          <w:tab w:val="num" w:pos="360"/>
        </w:tabs>
      </w:pPr>
    </w:lvl>
    <w:lvl w:ilvl="4" w:tplc="3AE6F7C8">
      <w:numFmt w:val="none"/>
      <w:lvlText w:val=""/>
      <w:lvlJc w:val="left"/>
      <w:pPr>
        <w:tabs>
          <w:tab w:val="num" w:pos="360"/>
        </w:tabs>
      </w:pPr>
    </w:lvl>
    <w:lvl w:ilvl="5" w:tplc="4F68D72A">
      <w:numFmt w:val="none"/>
      <w:lvlText w:val=""/>
      <w:lvlJc w:val="left"/>
      <w:pPr>
        <w:tabs>
          <w:tab w:val="num" w:pos="360"/>
        </w:tabs>
      </w:pPr>
    </w:lvl>
    <w:lvl w:ilvl="6" w:tplc="F892B890">
      <w:numFmt w:val="none"/>
      <w:lvlText w:val=""/>
      <w:lvlJc w:val="left"/>
      <w:pPr>
        <w:tabs>
          <w:tab w:val="num" w:pos="360"/>
        </w:tabs>
      </w:pPr>
    </w:lvl>
    <w:lvl w:ilvl="7" w:tplc="00565252">
      <w:numFmt w:val="none"/>
      <w:lvlText w:val=""/>
      <w:lvlJc w:val="left"/>
      <w:pPr>
        <w:tabs>
          <w:tab w:val="num" w:pos="360"/>
        </w:tabs>
      </w:pPr>
    </w:lvl>
    <w:lvl w:ilvl="8" w:tplc="69C2ADCA">
      <w:numFmt w:val="none"/>
      <w:lvlText w:val=""/>
      <w:lvlJc w:val="left"/>
      <w:pPr>
        <w:tabs>
          <w:tab w:val="num" w:pos="360"/>
        </w:tabs>
      </w:pPr>
    </w:lvl>
  </w:abstractNum>
  <w:abstractNum w:abstractNumId="4">
    <w:nsid w:val="25E87C3C"/>
    <w:multiLevelType w:val="hybridMultilevel"/>
    <w:tmpl w:val="21F8784A"/>
    <w:lvl w:ilvl="0" w:tplc="B5400F3A">
      <w:start w:val="1"/>
      <w:numFmt w:val="bullet"/>
      <w:lvlText w:val="-"/>
      <w:lvlJc w:val="left"/>
      <w:pPr>
        <w:tabs>
          <w:tab w:val="num" w:pos="2685"/>
        </w:tabs>
        <w:ind w:left="3014" w:hanging="329"/>
      </w:pPr>
      <w:rPr>
        <w:rFonts w:ascii="Arial" w:hAnsi="Arial" w:hint="default"/>
      </w:rPr>
    </w:lvl>
    <w:lvl w:ilvl="1" w:tplc="D70A5CAE">
      <w:start w:val="1"/>
      <w:numFmt w:val="decimal"/>
      <w:lvlText w:val="%2."/>
      <w:lvlJc w:val="left"/>
      <w:pPr>
        <w:tabs>
          <w:tab w:val="num" w:pos="2190"/>
        </w:tabs>
        <w:ind w:left="2190" w:hanging="405"/>
      </w:pPr>
      <w:rPr>
        <w:rFonts w:hint="default"/>
      </w:rPr>
    </w:lvl>
    <w:lvl w:ilvl="2" w:tplc="4A6800B4">
      <w:start w:val="1"/>
      <w:numFmt w:val="lowerLetter"/>
      <w:lvlText w:val="%3)"/>
      <w:lvlJc w:val="left"/>
      <w:pPr>
        <w:tabs>
          <w:tab w:val="num" w:pos="2865"/>
        </w:tabs>
        <w:ind w:left="2865" w:hanging="360"/>
      </w:pPr>
      <w:rPr>
        <w:rFonts w:hint="default"/>
      </w:rPr>
    </w:lvl>
    <w:lvl w:ilvl="3" w:tplc="04180001" w:tentative="1">
      <w:start w:val="1"/>
      <w:numFmt w:val="bullet"/>
      <w:lvlText w:val=""/>
      <w:lvlJc w:val="left"/>
      <w:pPr>
        <w:tabs>
          <w:tab w:val="num" w:pos="3585"/>
        </w:tabs>
        <w:ind w:left="3585" w:hanging="360"/>
      </w:pPr>
      <w:rPr>
        <w:rFonts w:ascii="Symbol" w:hAnsi="Symbol" w:hint="default"/>
      </w:rPr>
    </w:lvl>
    <w:lvl w:ilvl="4" w:tplc="04180003" w:tentative="1">
      <w:start w:val="1"/>
      <w:numFmt w:val="bullet"/>
      <w:lvlText w:val="o"/>
      <w:lvlJc w:val="left"/>
      <w:pPr>
        <w:tabs>
          <w:tab w:val="num" w:pos="4305"/>
        </w:tabs>
        <w:ind w:left="4305" w:hanging="360"/>
      </w:pPr>
      <w:rPr>
        <w:rFonts w:ascii="Courier New" w:hAnsi="Courier New" w:cs="Courier New" w:hint="default"/>
      </w:rPr>
    </w:lvl>
    <w:lvl w:ilvl="5" w:tplc="04180005" w:tentative="1">
      <w:start w:val="1"/>
      <w:numFmt w:val="bullet"/>
      <w:lvlText w:val=""/>
      <w:lvlJc w:val="left"/>
      <w:pPr>
        <w:tabs>
          <w:tab w:val="num" w:pos="5025"/>
        </w:tabs>
        <w:ind w:left="5025" w:hanging="360"/>
      </w:pPr>
      <w:rPr>
        <w:rFonts w:ascii="Wingdings" w:hAnsi="Wingdings" w:hint="default"/>
      </w:rPr>
    </w:lvl>
    <w:lvl w:ilvl="6" w:tplc="04180001" w:tentative="1">
      <w:start w:val="1"/>
      <w:numFmt w:val="bullet"/>
      <w:lvlText w:val=""/>
      <w:lvlJc w:val="left"/>
      <w:pPr>
        <w:tabs>
          <w:tab w:val="num" w:pos="5745"/>
        </w:tabs>
        <w:ind w:left="5745" w:hanging="360"/>
      </w:pPr>
      <w:rPr>
        <w:rFonts w:ascii="Symbol" w:hAnsi="Symbol" w:hint="default"/>
      </w:rPr>
    </w:lvl>
    <w:lvl w:ilvl="7" w:tplc="04180003" w:tentative="1">
      <w:start w:val="1"/>
      <w:numFmt w:val="bullet"/>
      <w:lvlText w:val="o"/>
      <w:lvlJc w:val="left"/>
      <w:pPr>
        <w:tabs>
          <w:tab w:val="num" w:pos="6465"/>
        </w:tabs>
        <w:ind w:left="6465" w:hanging="360"/>
      </w:pPr>
      <w:rPr>
        <w:rFonts w:ascii="Courier New" w:hAnsi="Courier New" w:cs="Courier New" w:hint="default"/>
      </w:rPr>
    </w:lvl>
    <w:lvl w:ilvl="8" w:tplc="04180005" w:tentative="1">
      <w:start w:val="1"/>
      <w:numFmt w:val="bullet"/>
      <w:lvlText w:val=""/>
      <w:lvlJc w:val="left"/>
      <w:pPr>
        <w:tabs>
          <w:tab w:val="num" w:pos="7185"/>
        </w:tabs>
        <w:ind w:left="7185" w:hanging="360"/>
      </w:pPr>
      <w:rPr>
        <w:rFonts w:ascii="Wingdings" w:hAnsi="Wingdings" w:hint="default"/>
      </w:rPr>
    </w:lvl>
  </w:abstractNum>
  <w:abstractNum w:abstractNumId="5">
    <w:nsid w:val="371D24C6"/>
    <w:multiLevelType w:val="multilevel"/>
    <w:tmpl w:val="1E72581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2"/>
      <w:numFmt w:val="none"/>
      <w:lvlText w:val="3.1."/>
      <w:lvlJc w:val="left"/>
      <w:pPr>
        <w:tabs>
          <w:tab w:val="num" w:pos="1440"/>
        </w:tabs>
        <w:ind w:left="1224" w:hanging="504"/>
      </w:pPr>
      <w:rPr>
        <w:rFonts w:hint="default"/>
        <w:sz w:val="26"/>
        <w:szCs w:val="26"/>
      </w:rPr>
    </w:lvl>
    <w:lvl w:ilvl="3">
      <w:start w:val="1"/>
      <w:numFmt w:val="decimal"/>
      <w:lvlText w:val="%1.%2.%3.%4."/>
      <w:lvlJc w:val="left"/>
      <w:pPr>
        <w:tabs>
          <w:tab w:val="num" w:pos="2160"/>
        </w:tabs>
        <w:ind w:left="1728" w:hanging="648"/>
      </w:pPr>
      <w:rPr>
        <w:rFonts w:hint="default"/>
      </w:rPr>
    </w:lvl>
    <w:lvl w:ilvl="4">
      <w:start w:val="1"/>
      <w:numFmt w:val="upperRoman"/>
      <w:lvlText w:val="%5."/>
      <w:lvlJc w:val="right"/>
      <w:pPr>
        <w:tabs>
          <w:tab w:val="num" w:pos="1620"/>
        </w:tabs>
        <w:ind w:left="1620" w:hanging="18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695534EF"/>
    <w:multiLevelType w:val="hybridMultilevel"/>
    <w:tmpl w:val="E5A81632"/>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
    <w:nsid w:val="7BE3056C"/>
    <w:multiLevelType w:val="hybridMultilevel"/>
    <w:tmpl w:val="8524561A"/>
    <w:lvl w:ilvl="0" w:tplc="B5400F3A">
      <w:start w:val="1"/>
      <w:numFmt w:val="bullet"/>
      <w:lvlText w:val="-"/>
      <w:lvlJc w:val="left"/>
      <w:pPr>
        <w:tabs>
          <w:tab w:val="num" w:pos="1980"/>
        </w:tabs>
        <w:ind w:left="2309" w:hanging="329"/>
      </w:pPr>
      <w:rPr>
        <w:rFonts w:ascii="Arial" w:hAnsi="Aria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8">
    <w:nsid w:val="7DFE3D08"/>
    <w:multiLevelType w:val="hybridMultilevel"/>
    <w:tmpl w:val="27EC1220"/>
    <w:lvl w:ilvl="0" w:tplc="B5400F3A">
      <w:start w:val="1"/>
      <w:numFmt w:val="bullet"/>
      <w:lvlText w:val="-"/>
      <w:lvlJc w:val="left"/>
      <w:pPr>
        <w:tabs>
          <w:tab w:val="num" w:pos="2685"/>
        </w:tabs>
        <w:ind w:left="3014" w:hanging="329"/>
      </w:pPr>
      <w:rPr>
        <w:rFonts w:ascii="Arial" w:hAnsi="Arial" w:hint="default"/>
      </w:rPr>
    </w:lvl>
    <w:lvl w:ilvl="1" w:tplc="04180003" w:tentative="1">
      <w:start w:val="1"/>
      <w:numFmt w:val="bullet"/>
      <w:lvlText w:val="o"/>
      <w:lvlJc w:val="left"/>
      <w:pPr>
        <w:tabs>
          <w:tab w:val="num" w:pos="2145"/>
        </w:tabs>
        <w:ind w:left="2145" w:hanging="360"/>
      </w:pPr>
      <w:rPr>
        <w:rFonts w:ascii="Courier New" w:hAnsi="Courier New" w:cs="Courier New" w:hint="default"/>
      </w:rPr>
    </w:lvl>
    <w:lvl w:ilvl="2" w:tplc="04180005" w:tentative="1">
      <w:start w:val="1"/>
      <w:numFmt w:val="bullet"/>
      <w:lvlText w:val=""/>
      <w:lvlJc w:val="left"/>
      <w:pPr>
        <w:tabs>
          <w:tab w:val="num" w:pos="2865"/>
        </w:tabs>
        <w:ind w:left="2865" w:hanging="360"/>
      </w:pPr>
      <w:rPr>
        <w:rFonts w:ascii="Wingdings" w:hAnsi="Wingdings" w:hint="default"/>
      </w:rPr>
    </w:lvl>
    <w:lvl w:ilvl="3" w:tplc="04180001" w:tentative="1">
      <w:start w:val="1"/>
      <w:numFmt w:val="bullet"/>
      <w:lvlText w:val=""/>
      <w:lvlJc w:val="left"/>
      <w:pPr>
        <w:tabs>
          <w:tab w:val="num" w:pos="3585"/>
        </w:tabs>
        <w:ind w:left="3585" w:hanging="360"/>
      </w:pPr>
      <w:rPr>
        <w:rFonts w:ascii="Symbol" w:hAnsi="Symbol" w:hint="default"/>
      </w:rPr>
    </w:lvl>
    <w:lvl w:ilvl="4" w:tplc="04180003" w:tentative="1">
      <w:start w:val="1"/>
      <w:numFmt w:val="bullet"/>
      <w:lvlText w:val="o"/>
      <w:lvlJc w:val="left"/>
      <w:pPr>
        <w:tabs>
          <w:tab w:val="num" w:pos="4305"/>
        </w:tabs>
        <w:ind w:left="4305" w:hanging="360"/>
      </w:pPr>
      <w:rPr>
        <w:rFonts w:ascii="Courier New" w:hAnsi="Courier New" w:cs="Courier New" w:hint="default"/>
      </w:rPr>
    </w:lvl>
    <w:lvl w:ilvl="5" w:tplc="04180005" w:tentative="1">
      <w:start w:val="1"/>
      <w:numFmt w:val="bullet"/>
      <w:lvlText w:val=""/>
      <w:lvlJc w:val="left"/>
      <w:pPr>
        <w:tabs>
          <w:tab w:val="num" w:pos="5025"/>
        </w:tabs>
        <w:ind w:left="5025" w:hanging="360"/>
      </w:pPr>
      <w:rPr>
        <w:rFonts w:ascii="Wingdings" w:hAnsi="Wingdings" w:hint="default"/>
      </w:rPr>
    </w:lvl>
    <w:lvl w:ilvl="6" w:tplc="04180001" w:tentative="1">
      <w:start w:val="1"/>
      <w:numFmt w:val="bullet"/>
      <w:lvlText w:val=""/>
      <w:lvlJc w:val="left"/>
      <w:pPr>
        <w:tabs>
          <w:tab w:val="num" w:pos="5745"/>
        </w:tabs>
        <w:ind w:left="5745" w:hanging="360"/>
      </w:pPr>
      <w:rPr>
        <w:rFonts w:ascii="Symbol" w:hAnsi="Symbol" w:hint="default"/>
      </w:rPr>
    </w:lvl>
    <w:lvl w:ilvl="7" w:tplc="04180003" w:tentative="1">
      <w:start w:val="1"/>
      <w:numFmt w:val="bullet"/>
      <w:lvlText w:val="o"/>
      <w:lvlJc w:val="left"/>
      <w:pPr>
        <w:tabs>
          <w:tab w:val="num" w:pos="6465"/>
        </w:tabs>
        <w:ind w:left="6465" w:hanging="360"/>
      </w:pPr>
      <w:rPr>
        <w:rFonts w:ascii="Courier New" w:hAnsi="Courier New" w:cs="Courier New" w:hint="default"/>
      </w:rPr>
    </w:lvl>
    <w:lvl w:ilvl="8" w:tplc="04180005" w:tentative="1">
      <w:start w:val="1"/>
      <w:numFmt w:val="bullet"/>
      <w:lvlText w:val=""/>
      <w:lvlJc w:val="left"/>
      <w:pPr>
        <w:tabs>
          <w:tab w:val="num" w:pos="7185"/>
        </w:tabs>
        <w:ind w:left="7185" w:hanging="360"/>
      </w:pPr>
      <w:rPr>
        <w:rFonts w:ascii="Wingdings" w:hAnsi="Wingdings" w:hint="default"/>
      </w:rPr>
    </w:lvl>
  </w:abstractNum>
  <w:num w:numId="1">
    <w:abstractNumId w:val="1"/>
  </w:num>
  <w:num w:numId="2">
    <w:abstractNumId w:val="0"/>
  </w:num>
  <w:num w:numId="3">
    <w:abstractNumId w:val="3"/>
  </w:num>
  <w:num w:numId="4">
    <w:abstractNumId w:val="8"/>
  </w:num>
  <w:num w:numId="5">
    <w:abstractNumId w:val="7"/>
  </w:num>
  <w:num w:numId="6">
    <w:abstractNumId w:val="2"/>
  </w:num>
  <w:num w:numId="7">
    <w:abstractNumId w:val="4"/>
  </w:num>
  <w:num w:numId="8">
    <w:abstractNumId w:val="5"/>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stylePaneFormatFilter w:val="3F01"/>
  <w:defaultTabStop w:val="708"/>
  <w:autoHyphenation/>
  <w:hyphenationZone w:val="425"/>
  <w:doNotHyphenateCaps/>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7C6C27"/>
    <w:rsid w:val="00123D7D"/>
    <w:rsid w:val="00175DA9"/>
    <w:rsid w:val="00176D23"/>
    <w:rsid w:val="001C04AA"/>
    <w:rsid w:val="001E3246"/>
    <w:rsid w:val="00203A26"/>
    <w:rsid w:val="0022068A"/>
    <w:rsid w:val="00225732"/>
    <w:rsid w:val="003A6474"/>
    <w:rsid w:val="003F30D5"/>
    <w:rsid w:val="00454F1B"/>
    <w:rsid w:val="004A7B97"/>
    <w:rsid w:val="00623A57"/>
    <w:rsid w:val="00680966"/>
    <w:rsid w:val="00690088"/>
    <w:rsid w:val="0072578D"/>
    <w:rsid w:val="007C6C27"/>
    <w:rsid w:val="007E64B9"/>
    <w:rsid w:val="008506E1"/>
    <w:rsid w:val="008D0EBA"/>
    <w:rsid w:val="008E53E9"/>
    <w:rsid w:val="009047D5"/>
    <w:rsid w:val="009414EA"/>
    <w:rsid w:val="00956335"/>
    <w:rsid w:val="00977B59"/>
    <w:rsid w:val="009B0ADE"/>
    <w:rsid w:val="009B29F1"/>
    <w:rsid w:val="00B10450"/>
    <w:rsid w:val="00C343F6"/>
    <w:rsid w:val="00C93CE3"/>
    <w:rsid w:val="00CA58DE"/>
    <w:rsid w:val="00CC3C90"/>
    <w:rsid w:val="00D66452"/>
    <w:rsid w:val="00D70E0F"/>
    <w:rsid w:val="00DA489C"/>
    <w:rsid w:val="00E25A29"/>
    <w:rsid w:val="00E515C0"/>
    <w:rsid w:val="00E77CEE"/>
    <w:rsid w:val="00F95E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5DA9"/>
    <w:rPr>
      <w:sz w:val="24"/>
      <w:szCs w:val="24"/>
      <w:lang w:val="ro-RO" w:eastAsia="ro-RO"/>
    </w:rPr>
  </w:style>
  <w:style w:type="paragraph" w:styleId="Heading1">
    <w:name w:val="heading 1"/>
    <w:basedOn w:val="Normal"/>
    <w:next w:val="Normal"/>
    <w:qFormat/>
    <w:rsid w:val="00175DA9"/>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175DA9"/>
    <w:pPr>
      <w:keepNext/>
      <w:spacing w:before="240" w:after="60"/>
      <w:outlineLvl w:val="1"/>
    </w:pPr>
    <w:rPr>
      <w:rFonts w:ascii="Arial" w:hAnsi="Arial" w:cs="Arial"/>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175D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CA58DE"/>
    <w:pPr>
      <w:tabs>
        <w:tab w:val="center" w:pos="4536"/>
        <w:tab w:val="right" w:pos="9072"/>
      </w:tabs>
    </w:pPr>
  </w:style>
  <w:style w:type="paragraph" w:styleId="Footer">
    <w:name w:val="footer"/>
    <w:basedOn w:val="Normal"/>
    <w:rsid w:val="00CA58DE"/>
    <w:pPr>
      <w:tabs>
        <w:tab w:val="center" w:pos="4536"/>
        <w:tab w:val="right" w:pos="9072"/>
      </w:tabs>
    </w:pPr>
  </w:style>
  <w:style w:type="character" w:styleId="PageNumber">
    <w:name w:val="page number"/>
    <w:basedOn w:val="DefaultParagraphFont"/>
    <w:rsid w:val="00CA58DE"/>
  </w:style>
  <w:style w:type="paragraph" w:styleId="BalloonText">
    <w:name w:val="Balloon Text"/>
    <w:basedOn w:val="Normal"/>
    <w:link w:val="BalloonTextChar"/>
    <w:rsid w:val="0022068A"/>
    <w:rPr>
      <w:rFonts w:ascii="Tahoma" w:hAnsi="Tahoma" w:cs="Tahoma"/>
      <w:sz w:val="16"/>
      <w:szCs w:val="16"/>
    </w:rPr>
  </w:style>
  <w:style w:type="character" w:customStyle="1" w:styleId="BalloonTextChar">
    <w:name w:val="Balloon Text Char"/>
    <w:basedOn w:val="DefaultParagraphFont"/>
    <w:link w:val="BalloonText"/>
    <w:rsid w:val="0022068A"/>
    <w:rPr>
      <w:rFonts w:ascii="Tahoma" w:hAnsi="Tahoma" w:cs="Tahoma"/>
      <w:sz w:val="16"/>
      <w:szCs w:val="16"/>
      <w:lang w:val="ro-RO"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view3D>
      <c:rotX val="25"/>
      <c:hPercent val="99"/>
      <c:rotY val="40"/>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0.20863309352517992"/>
          <c:y val="8.241758241758243E-2"/>
          <c:w val="0.41726618705035989"/>
          <c:h val="0.73076923076923073"/>
        </c:manualLayout>
      </c:layout>
      <c:bar3DChart>
        <c:barDir val="col"/>
        <c:grouping val="clustered"/>
        <c:ser>
          <c:idx val="0"/>
          <c:order val="0"/>
          <c:tx>
            <c:strRef>
              <c:f>Sheet1!$A$2</c:f>
              <c:strCache>
                <c:ptCount val="1"/>
                <c:pt idx="0">
                  <c:v>PIB (mld.lei)</c:v>
                </c:pt>
              </c:strCache>
            </c:strRef>
          </c:tx>
          <c:spPr>
            <a:solidFill>
              <a:srgbClr val="FFFF99"/>
            </a:solidFill>
            <a:ln w="12700">
              <a:solidFill>
                <a:srgbClr val="000000"/>
              </a:solidFill>
              <a:prstDash val="solid"/>
            </a:ln>
          </c:spPr>
          <c:cat>
            <c:numRef>
              <c:f>Sheet1!$B$1:$D$1</c:f>
              <c:numCache>
                <c:formatCode>General</c:formatCode>
                <c:ptCount val="3"/>
                <c:pt idx="0">
                  <c:v>1998</c:v>
                </c:pt>
                <c:pt idx="1">
                  <c:v>1999</c:v>
                </c:pt>
                <c:pt idx="2">
                  <c:v>2000</c:v>
                </c:pt>
              </c:numCache>
            </c:numRef>
          </c:cat>
          <c:val>
            <c:numRef>
              <c:f>Sheet1!$B$2:$D$2</c:f>
              <c:numCache>
                <c:formatCode>General</c:formatCode>
                <c:ptCount val="3"/>
                <c:pt idx="0">
                  <c:v>373798.2</c:v>
                </c:pt>
                <c:pt idx="1">
                  <c:v>545730.19999999949</c:v>
                </c:pt>
                <c:pt idx="2">
                  <c:v>803773.1</c:v>
                </c:pt>
              </c:numCache>
            </c:numRef>
          </c:val>
        </c:ser>
        <c:ser>
          <c:idx val="1"/>
          <c:order val="1"/>
          <c:tx>
            <c:strRef>
              <c:f>Sheet1!$A$3</c:f>
              <c:strCache>
                <c:ptCount val="1"/>
                <c:pt idx="0">
                  <c:v>VAB (mld.lei)</c:v>
                </c:pt>
              </c:strCache>
            </c:strRef>
          </c:tx>
          <c:spPr>
            <a:solidFill>
              <a:srgbClr val="00CCFF"/>
            </a:solidFill>
            <a:ln w="12700">
              <a:solidFill>
                <a:srgbClr val="000000"/>
              </a:solidFill>
              <a:prstDash val="solid"/>
            </a:ln>
          </c:spPr>
          <c:cat>
            <c:numRef>
              <c:f>Sheet1!$B$1:$D$1</c:f>
              <c:numCache>
                <c:formatCode>General</c:formatCode>
                <c:ptCount val="3"/>
                <c:pt idx="0">
                  <c:v>1998</c:v>
                </c:pt>
                <c:pt idx="1">
                  <c:v>1999</c:v>
                </c:pt>
                <c:pt idx="2">
                  <c:v>2000</c:v>
                </c:pt>
              </c:numCache>
            </c:numRef>
          </c:cat>
          <c:val>
            <c:numRef>
              <c:f>Sheet1!$B$3:$D$3</c:f>
              <c:numCache>
                <c:formatCode>General</c:formatCode>
                <c:ptCount val="3"/>
                <c:pt idx="0">
                  <c:v>331547.59999999998</c:v>
                </c:pt>
                <c:pt idx="1">
                  <c:v>480475.1</c:v>
                </c:pt>
                <c:pt idx="2">
                  <c:v>711132.5</c:v>
                </c:pt>
              </c:numCache>
            </c:numRef>
          </c:val>
        </c:ser>
        <c:gapDepth val="0"/>
        <c:shape val="box"/>
        <c:axId val="93572096"/>
        <c:axId val="93819648"/>
        <c:axId val="0"/>
      </c:bar3DChart>
      <c:catAx>
        <c:axId val="93572096"/>
        <c:scaling>
          <c:orientation val="minMax"/>
        </c:scaling>
        <c:axPos val="b"/>
        <c:numFmt formatCode="General" sourceLinked="1"/>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en-US"/>
          </a:p>
        </c:txPr>
        <c:crossAx val="93819648"/>
        <c:crosses val="autoZero"/>
        <c:auto val="1"/>
        <c:lblAlgn val="ctr"/>
        <c:lblOffset val="100"/>
        <c:tickLblSkip val="1"/>
        <c:tickMarkSkip val="1"/>
      </c:catAx>
      <c:valAx>
        <c:axId val="93819648"/>
        <c:scaling>
          <c:orientation val="minMax"/>
        </c:scaling>
        <c:axPos val="l"/>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en-US"/>
          </a:p>
        </c:txPr>
        <c:crossAx val="93572096"/>
        <c:crosses val="autoZero"/>
        <c:crossBetween val="between"/>
      </c:valAx>
      <c:spPr>
        <a:noFill/>
        <a:ln w="25400">
          <a:noFill/>
        </a:ln>
      </c:spPr>
    </c:plotArea>
    <c:legend>
      <c:legendPos val="r"/>
      <c:layout>
        <c:manualLayout>
          <c:xMode val="edge"/>
          <c:yMode val="edge"/>
          <c:x val="0.66546762589928055"/>
          <c:y val="0.39560439560439581"/>
          <c:w val="0.32014388489208645"/>
          <c:h val="0.21428571428571427"/>
        </c:manualLayout>
      </c:layout>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en-US"/>
        </a:p>
      </c:txPr>
    </c:legend>
    <c:plotVisOnly val="1"/>
    <c:dispBlanksAs val="gap"/>
  </c:chart>
  <c:spPr>
    <a:noFill/>
    <a:ln>
      <a:noFill/>
    </a:ln>
  </c:spPr>
  <c:txPr>
    <a:bodyPr/>
    <a:lstStyle/>
    <a:p>
      <a:pPr>
        <a:defRPr sz="800" b="1" i="0" u="none" strike="noStrike" baseline="0">
          <a:solidFill>
            <a:srgbClr val="000000"/>
          </a:solidFill>
          <a:latin typeface="Arial"/>
          <a:ea typeface="Arial"/>
          <a:cs typeface="Arial"/>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5D208-4554-4E7F-A5B0-215A84247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704</Words>
  <Characters>4016</Characters>
  <Application>Microsoft Office Word</Application>
  <DocSecurity>0</DocSecurity>
  <Lines>33</Lines>
  <Paragraphs>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Analiza structurii avuţiei naţionale</vt:lpstr>
      <vt:lpstr>Analiza structurii avuţiei naţionale</vt:lpstr>
    </vt:vector>
  </TitlesOfParts>
  <Company>Home</Company>
  <LinksUpToDate>false</LinksUpToDate>
  <CharactersWithSpaces>4711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Analiza structurii avuţiei naţionale</dc:title>
  <dc:subject/>
  <dc:creator>Iuliana Botha</dc:creator>
  <cp:keywords/>
  <dc:description/>
  <cp:lastModifiedBy>Energetic</cp:lastModifiedBy>
  <cp:revision>2</cp:revision>
  <dcterms:created xsi:type="dcterms:W3CDTF">2011-12-20T14:59:00Z</dcterms:created>
  <dcterms:modified xsi:type="dcterms:W3CDTF">2011-12-20T14:59:00Z</dcterms:modified>
</cp:coreProperties>
</file>